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21" w:rsidRDefault="00E84A2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1C1916" w:rsidRDefault="00D26891" w:rsidP="004B44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MUNICÍ</w:t>
      </w:r>
      <w:r w:rsidR="0005171D">
        <w:rPr>
          <w:b/>
          <w:bCs/>
          <w:sz w:val="28"/>
          <w:szCs w:val="28"/>
        </w:rPr>
        <w:t>PIO DE JÓIA</w:t>
      </w:r>
      <w:r w:rsidR="00C519D5">
        <w:rPr>
          <w:b/>
          <w:bCs/>
          <w:sz w:val="28"/>
          <w:szCs w:val="28"/>
        </w:rPr>
        <w:t>/RS</w:t>
      </w:r>
    </w:p>
    <w:p w:rsidR="0005171D" w:rsidRDefault="0005171D" w:rsidP="004B449D">
      <w:pPr>
        <w:pStyle w:val="Default"/>
        <w:jc w:val="center"/>
        <w:rPr>
          <w:b/>
          <w:bCs/>
          <w:sz w:val="28"/>
          <w:szCs w:val="28"/>
        </w:rPr>
      </w:pPr>
    </w:p>
    <w:p w:rsidR="0005171D" w:rsidRDefault="0005171D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C519D5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:rsidR="0005171D" w:rsidRDefault="00D26891" w:rsidP="00C519D5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 xml:space="preserve">PROJETO BÁSICO PARA SERVIÇO DE TRATAMENTO E MONITORAMENTO DE ÁGUA POTÁVEL </w:t>
      </w: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1C5B80" w:rsidP="004B449D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2D1DAA0" wp14:editId="37BCFABA">
            <wp:simplePos x="0" y="0"/>
            <wp:positionH relativeFrom="column">
              <wp:posOffset>876300</wp:posOffset>
            </wp:positionH>
            <wp:positionV relativeFrom="paragraph">
              <wp:posOffset>97155</wp:posOffset>
            </wp:positionV>
            <wp:extent cx="4295775" cy="3000375"/>
            <wp:effectExtent l="0" t="0" r="9525" b="9525"/>
            <wp:wrapSquare wrapText="bothSides"/>
            <wp:docPr id="6" name="Imagem 6" descr="água limpa - iGUi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gua limpa - iGUi Ecolog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A608BF" w:rsidRDefault="00A608BF" w:rsidP="004B449D">
      <w:pPr>
        <w:pStyle w:val="Default"/>
        <w:jc w:val="center"/>
        <w:rPr>
          <w:b/>
          <w:bCs/>
          <w:sz w:val="28"/>
          <w:szCs w:val="28"/>
        </w:rPr>
      </w:pPr>
    </w:p>
    <w:p w:rsidR="00A608BF" w:rsidRDefault="00A608BF" w:rsidP="004B449D">
      <w:pPr>
        <w:pStyle w:val="Default"/>
        <w:jc w:val="center"/>
        <w:rPr>
          <w:b/>
          <w:bCs/>
          <w:sz w:val="28"/>
          <w:szCs w:val="28"/>
        </w:rPr>
      </w:pPr>
    </w:p>
    <w:p w:rsidR="00A608BF" w:rsidRDefault="00A608BF" w:rsidP="004B449D">
      <w:pPr>
        <w:pStyle w:val="Default"/>
        <w:jc w:val="center"/>
        <w:rPr>
          <w:b/>
          <w:bCs/>
          <w:sz w:val="28"/>
          <w:szCs w:val="28"/>
        </w:rPr>
      </w:pPr>
    </w:p>
    <w:p w:rsidR="00A608BF" w:rsidRDefault="00A608BF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</w:p>
    <w:p w:rsidR="00D26891" w:rsidRPr="00D26891" w:rsidRDefault="00D26891" w:rsidP="004B44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Julho/2020</w:t>
      </w:r>
    </w:p>
    <w:p w:rsidR="001C1916" w:rsidRDefault="001C1916" w:rsidP="004B449D">
      <w:pPr>
        <w:pStyle w:val="Default"/>
        <w:jc w:val="center"/>
        <w:rPr>
          <w:b/>
          <w:bCs/>
          <w:sz w:val="28"/>
          <w:szCs w:val="28"/>
        </w:rPr>
      </w:pPr>
    </w:p>
    <w:p w:rsidR="001C1916" w:rsidRPr="0005171D" w:rsidRDefault="001C1916" w:rsidP="001C1916">
      <w:pPr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05171D">
        <w:rPr>
          <w:rFonts w:ascii="Times New Roman" w:hAnsi="Times New Roman"/>
          <w:b/>
          <w:bCs/>
          <w:sz w:val="24"/>
          <w:szCs w:val="24"/>
          <w:lang w:eastAsia="pt-BR"/>
        </w:rPr>
        <w:t>PROJETO BÁSICO</w:t>
      </w:r>
    </w:p>
    <w:p w:rsidR="001C1916" w:rsidRPr="0005171D" w:rsidRDefault="001C1916" w:rsidP="001C1916">
      <w:pPr>
        <w:autoSpaceDE w:val="0"/>
        <w:autoSpaceDN w:val="0"/>
        <w:adjustRightInd w:val="0"/>
        <w:spacing w:before="120" w:after="120" w:line="276" w:lineRule="auto"/>
        <w:ind w:left="0" w:firstLine="360"/>
        <w:jc w:val="both"/>
        <w:rPr>
          <w:rFonts w:ascii="Times New Roman" w:hAnsi="Times New Roman"/>
          <w:sz w:val="20"/>
          <w:szCs w:val="20"/>
          <w:lang w:eastAsia="pt-BR"/>
        </w:rPr>
      </w:pPr>
    </w:p>
    <w:p w:rsidR="001C1916" w:rsidRPr="0005171D" w:rsidRDefault="001C1916" w:rsidP="0005171D">
      <w:pPr>
        <w:autoSpaceDE w:val="0"/>
        <w:autoSpaceDN w:val="0"/>
        <w:adjustRightInd w:val="0"/>
        <w:spacing w:before="120" w:after="120"/>
        <w:ind w:left="0" w:firstLine="360"/>
        <w:jc w:val="both"/>
        <w:rPr>
          <w:rFonts w:ascii="Times New Roman" w:hAnsi="Times New Roman"/>
          <w:sz w:val="24"/>
          <w:szCs w:val="24"/>
          <w:lang w:eastAsia="pt-BR"/>
        </w:rPr>
      </w:pPr>
      <w:r w:rsidRPr="0005171D">
        <w:rPr>
          <w:rFonts w:ascii="Times New Roman" w:hAnsi="Times New Roman"/>
          <w:sz w:val="24"/>
          <w:szCs w:val="24"/>
          <w:lang w:eastAsia="pt-BR"/>
        </w:rPr>
        <w:t>Os serviços que constituem o objeto da Contratação deverão ser executados em estrita observância às especificações técnicas e demais elementos constantes deste Anexo.</w:t>
      </w:r>
    </w:p>
    <w:p w:rsidR="001C1916" w:rsidRPr="0005171D" w:rsidRDefault="00E05CAF" w:rsidP="000517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Objeto</w:t>
      </w:r>
    </w:p>
    <w:p w:rsidR="001C1916" w:rsidRPr="0005171D" w:rsidRDefault="001C1916" w:rsidP="0005171D">
      <w:pPr>
        <w:autoSpaceDE w:val="0"/>
        <w:autoSpaceDN w:val="0"/>
        <w:adjustRightInd w:val="0"/>
        <w:spacing w:before="120" w:after="120"/>
        <w:ind w:left="0" w:firstLine="360"/>
        <w:jc w:val="both"/>
        <w:rPr>
          <w:rFonts w:ascii="Times New Roman" w:hAnsi="Times New Roman"/>
          <w:sz w:val="24"/>
          <w:szCs w:val="24"/>
          <w:lang w:eastAsia="pt-BR"/>
        </w:rPr>
      </w:pPr>
      <w:r w:rsidRPr="0005171D">
        <w:rPr>
          <w:rFonts w:ascii="Times New Roman" w:hAnsi="Times New Roman"/>
          <w:sz w:val="24"/>
          <w:szCs w:val="24"/>
          <w:lang w:eastAsia="pt-BR"/>
        </w:rPr>
        <w:t>Este projeto refere-se à contratação de empresa especializada para prestação dos serviços continuados</w:t>
      </w:r>
      <w:r w:rsidR="002F74C4">
        <w:rPr>
          <w:rFonts w:ascii="Times New Roman" w:hAnsi="Times New Roman"/>
          <w:sz w:val="24"/>
          <w:szCs w:val="24"/>
          <w:lang w:eastAsia="pt-BR"/>
        </w:rPr>
        <w:t xml:space="preserve"> para o</w:t>
      </w:r>
      <w:r w:rsidR="00327B23">
        <w:rPr>
          <w:rFonts w:ascii="Times New Roman" w:hAnsi="Times New Roman"/>
          <w:sz w:val="24"/>
          <w:szCs w:val="24"/>
          <w:lang w:eastAsia="pt-BR"/>
        </w:rPr>
        <w:t xml:space="preserve"> t</w:t>
      </w:r>
      <w:r w:rsidR="00B969FA" w:rsidRPr="0005171D">
        <w:rPr>
          <w:rFonts w:ascii="Times New Roman" w:hAnsi="Times New Roman"/>
          <w:sz w:val="24"/>
          <w:szCs w:val="24"/>
          <w:lang w:eastAsia="pt-BR"/>
        </w:rPr>
        <w:t>ratamento e monitoramento de água potável</w:t>
      </w:r>
      <w:r w:rsidR="004633D8" w:rsidRPr="0005171D">
        <w:rPr>
          <w:rFonts w:ascii="Times New Roman" w:hAnsi="Times New Roman"/>
          <w:sz w:val="24"/>
          <w:szCs w:val="24"/>
          <w:lang w:eastAsia="pt-BR"/>
        </w:rPr>
        <w:t xml:space="preserve"> e controle micro biológico/bacteriológico (</w:t>
      </w:r>
      <w:r w:rsidR="004B0927" w:rsidRPr="0005171D">
        <w:rPr>
          <w:rFonts w:ascii="Times New Roman" w:hAnsi="Times New Roman"/>
          <w:sz w:val="24"/>
          <w:szCs w:val="24"/>
          <w:lang w:eastAsia="pt-BR"/>
        </w:rPr>
        <w:t>coliformes</w:t>
      </w:r>
      <w:r w:rsidR="004633D8" w:rsidRPr="0005171D">
        <w:rPr>
          <w:rFonts w:ascii="Times New Roman" w:hAnsi="Times New Roman"/>
          <w:sz w:val="24"/>
          <w:szCs w:val="24"/>
          <w:lang w:eastAsia="pt-BR"/>
        </w:rPr>
        <w:t xml:space="preserve"> totais e termotolarantes), analises físico químicas (ph, cloro, cor, turbidez, flúor), padrão SISÀGUA, agua fornecida  no perímetro urbano e rural pelo</w:t>
      </w:r>
      <w:r w:rsidR="00B969FA" w:rsidRPr="0005171D">
        <w:rPr>
          <w:rFonts w:ascii="Times New Roman" w:hAnsi="Times New Roman"/>
          <w:sz w:val="24"/>
          <w:szCs w:val="24"/>
          <w:lang w:eastAsia="pt-BR"/>
        </w:rPr>
        <w:t xml:space="preserve"> município de Jóia-RS, </w:t>
      </w:r>
      <w:r w:rsidR="004B0927" w:rsidRPr="0005171D">
        <w:rPr>
          <w:rFonts w:ascii="Times New Roman" w:hAnsi="Times New Roman"/>
          <w:sz w:val="24"/>
          <w:szCs w:val="24"/>
          <w:lang w:eastAsia="pt-BR"/>
        </w:rPr>
        <w:t xml:space="preserve">com a aplicação de cloro </w:t>
      </w:r>
      <w:r w:rsidR="00AF3625">
        <w:rPr>
          <w:rFonts w:ascii="Times New Roman" w:hAnsi="Times New Roman"/>
          <w:sz w:val="24"/>
          <w:szCs w:val="24"/>
          <w:lang w:eastAsia="pt-BR"/>
        </w:rPr>
        <w:t>de</w:t>
      </w:r>
      <w:r w:rsidR="004B0927" w:rsidRPr="0005171D">
        <w:rPr>
          <w:rFonts w:ascii="Times New Roman" w:hAnsi="Times New Roman"/>
          <w:sz w:val="24"/>
          <w:szCs w:val="24"/>
          <w:lang w:eastAsia="pt-BR"/>
        </w:rPr>
        <w:t xml:space="preserve"> acordo com a Portaria w Consolidação MS—GN nº 5, de 28/09/20</w:t>
      </w:r>
      <w:r w:rsidR="00327B23">
        <w:rPr>
          <w:rFonts w:ascii="Times New Roman" w:hAnsi="Times New Roman"/>
          <w:sz w:val="24"/>
          <w:szCs w:val="24"/>
          <w:lang w:eastAsia="pt-BR"/>
        </w:rPr>
        <w:t>17, e limpeza dos reservatórios</w:t>
      </w:r>
      <w:r w:rsidR="004B0927" w:rsidRPr="0005171D">
        <w:rPr>
          <w:rFonts w:ascii="Times New Roman" w:hAnsi="Times New Roman"/>
          <w:sz w:val="24"/>
          <w:szCs w:val="24"/>
          <w:lang w:eastAsia="pt-BR"/>
        </w:rPr>
        <w:t xml:space="preserve">, nos </w:t>
      </w:r>
      <w:r w:rsidR="00C6479D" w:rsidRPr="0005171D">
        <w:rPr>
          <w:rFonts w:ascii="Times New Roman" w:hAnsi="Times New Roman"/>
          <w:sz w:val="24"/>
          <w:szCs w:val="24"/>
          <w:lang w:eastAsia="pt-BR"/>
        </w:rPr>
        <w:t>poços/reservatórios elencados na tabela 01</w:t>
      </w:r>
      <w:r w:rsidR="004B0927" w:rsidRPr="0005171D">
        <w:rPr>
          <w:rFonts w:ascii="Times New Roman" w:hAnsi="Times New Roman"/>
          <w:sz w:val="24"/>
          <w:szCs w:val="24"/>
          <w:lang w:eastAsia="pt-BR"/>
        </w:rPr>
        <w:t>(sendo 16 estações e 16 reservatórios). Cabe salientar</w:t>
      </w:r>
      <w:r w:rsidR="00B969FA" w:rsidRPr="0005171D">
        <w:rPr>
          <w:rFonts w:ascii="Times New Roman" w:hAnsi="Times New Roman"/>
          <w:sz w:val="24"/>
          <w:szCs w:val="24"/>
          <w:lang w:eastAsia="pt-BR"/>
        </w:rPr>
        <w:t xml:space="preserve"> que</w:t>
      </w:r>
      <w:r w:rsidR="004B0927" w:rsidRPr="0005171D">
        <w:rPr>
          <w:rFonts w:ascii="Times New Roman" w:hAnsi="Times New Roman"/>
          <w:sz w:val="24"/>
          <w:szCs w:val="24"/>
          <w:lang w:eastAsia="pt-BR"/>
        </w:rPr>
        <w:t xml:space="preserve"> a prestação dos serviço deve</w:t>
      </w:r>
      <w:r w:rsidR="00B969FA" w:rsidRPr="0005171D">
        <w:rPr>
          <w:rFonts w:ascii="Times New Roman" w:hAnsi="Times New Roman"/>
          <w:sz w:val="24"/>
          <w:szCs w:val="24"/>
          <w:lang w:eastAsia="pt-BR"/>
        </w:rPr>
        <w:t xml:space="preserve"> contemplar</w:t>
      </w:r>
      <w:r w:rsidRPr="0005171D">
        <w:rPr>
          <w:rFonts w:ascii="Times New Roman" w:hAnsi="Times New Roman"/>
          <w:sz w:val="24"/>
          <w:szCs w:val="24"/>
          <w:lang w:eastAsia="pt-BR"/>
        </w:rPr>
        <w:t>, além da mão de obra, o fornecimento</w:t>
      </w:r>
      <w:r w:rsidR="00327B23">
        <w:rPr>
          <w:rFonts w:ascii="Times New Roman" w:hAnsi="Times New Roman"/>
          <w:sz w:val="24"/>
          <w:szCs w:val="24"/>
          <w:lang w:eastAsia="pt-BR"/>
        </w:rPr>
        <w:t xml:space="preserve"> via comodato</w:t>
      </w:r>
      <w:r w:rsidRPr="0005171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969FA" w:rsidRPr="0005171D">
        <w:rPr>
          <w:rFonts w:ascii="Times New Roman" w:hAnsi="Times New Roman"/>
          <w:sz w:val="24"/>
          <w:szCs w:val="24"/>
          <w:lang w:eastAsia="pt-BR"/>
        </w:rPr>
        <w:t>todos os materiais e</w:t>
      </w:r>
      <w:r w:rsidRPr="0005171D">
        <w:rPr>
          <w:rFonts w:ascii="Times New Roman" w:hAnsi="Times New Roman"/>
          <w:sz w:val="24"/>
          <w:szCs w:val="24"/>
          <w:lang w:eastAsia="pt-BR"/>
        </w:rPr>
        <w:t xml:space="preserve"> o emprego de todos os equipamentos necessários à execução dos serviços.</w:t>
      </w:r>
      <w:r w:rsidR="004633D8" w:rsidRPr="0005171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1C1916" w:rsidRPr="0005171D" w:rsidRDefault="001C1916" w:rsidP="0005171D">
      <w:pPr>
        <w:autoSpaceDE w:val="0"/>
        <w:autoSpaceDN w:val="0"/>
        <w:adjustRightInd w:val="0"/>
        <w:spacing w:before="120" w:after="120"/>
        <w:ind w:left="0" w:firstLine="360"/>
        <w:jc w:val="both"/>
        <w:rPr>
          <w:rFonts w:ascii="Times New Roman" w:hAnsi="Times New Roman"/>
          <w:sz w:val="24"/>
          <w:szCs w:val="24"/>
          <w:lang w:eastAsia="pt-BR"/>
        </w:rPr>
      </w:pPr>
      <w:r w:rsidRPr="0005171D">
        <w:rPr>
          <w:rFonts w:ascii="Times New Roman" w:hAnsi="Times New Roman"/>
          <w:sz w:val="24"/>
          <w:szCs w:val="24"/>
          <w:lang w:eastAsia="pt-BR"/>
        </w:rPr>
        <w:t xml:space="preserve">O prazo de vigência do contrato será de </w:t>
      </w:r>
      <w:r w:rsidRPr="0005171D">
        <w:rPr>
          <w:rFonts w:ascii="Times New Roman" w:hAnsi="Times New Roman"/>
          <w:color w:val="000000"/>
          <w:sz w:val="24"/>
          <w:szCs w:val="24"/>
          <w:lang w:eastAsia="pt-BR"/>
        </w:rPr>
        <w:t>12 (doze) meses</w:t>
      </w:r>
      <w:r w:rsidRPr="0005171D">
        <w:rPr>
          <w:rFonts w:ascii="Times New Roman" w:hAnsi="Times New Roman"/>
          <w:sz w:val="24"/>
          <w:szCs w:val="24"/>
          <w:lang w:eastAsia="pt-BR"/>
        </w:rPr>
        <w:t>, contado</w:t>
      </w:r>
      <w:r w:rsidR="00B969FA" w:rsidRPr="0005171D">
        <w:rPr>
          <w:rFonts w:ascii="Times New Roman" w:hAnsi="Times New Roman"/>
          <w:sz w:val="24"/>
          <w:szCs w:val="24"/>
          <w:lang w:eastAsia="pt-BR"/>
        </w:rPr>
        <w:t xml:space="preserve"> da data da sua assinatura. </w:t>
      </w:r>
      <w:r w:rsidRPr="0005171D">
        <w:rPr>
          <w:rFonts w:ascii="Times New Roman" w:hAnsi="Times New Roman"/>
          <w:sz w:val="24"/>
          <w:szCs w:val="24"/>
          <w:lang w:eastAsia="pt-BR"/>
        </w:rPr>
        <w:t>O contrato poderá ser prorrogado, mediante acordo entre as partes, até o limite de 60 (sessenta) meses, desde que previamente autorizado pela autoridade competente para celebra-lo.</w:t>
      </w:r>
    </w:p>
    <w:p w:rsidR="001C1916" w:rsidRPr="0005171D" w:rsidRDefault="001C1916" w:rsidP="001C1916">
      <w:pPr>
        <w:autoSpaceDE w:val="0"/>
        <w:autoSpaceDN w:val="0"/>
        <w:adjustRightInd w:val="0"/>
        <w:spacing w:before="120" w:after="120" w:line="276" w:lineRule="auto"/>
        <w:ind w:left="567" w:firstLine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4633D8" w:rsidRPr="0005171D" w:rsidRDefault="001C1916" w:rsidP="004633D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74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05171D">
        <w:rPr>
          <w:rFonts w:ascii="Times New Roman" w:hAnsi="Times New Roman"/>
          <w:b/>
          <w:bCs/>
          <w:sz w:val="24"/>
          <w:szCs w:val="24"/>
          <w:lang w:eastAsia="pt-BR"/>
        </w:rPr>
        <w:t>Detalhamento do Objeto</w:t>
      </w:r>
    </w:p>
    <w:p w:rsidR="004633D8" w:rsidRPr="00327B23" w:rsidRDefault="004633D8" w:rsidP="00E05CAF">
      <w:pPr>
        <w:autoSpaceDE w:val="0"/>
        <w:autoSpaceDN w:val="0"/>
        <w:adjustRightInd w:val="0"/>
        <w:spacing w:before="120" w:after="120"/>
        <w:ind w:left="142" w:firstLine="2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05171D">
        <w:rPr>
          <w:rFonts w:ascii="Times New Roman" w:hAnsi="Times New Roman"/>
          <w:sz w:val="24"/>
          <w:szCs w:val="24"/>
        </w:rPr>
        <w:t>A prestação do serviços no fornecimento e instalação, manutenção, materiais, insumos e serviços inerentes ao desempenho de atividade relativa ao monitoramento e controle do tra</w:t>
      </w:r>
      <w:r w:rsidR="00466C49">
        <w:rPr>
          <w:rFonts w:ascii="Times New Roman" w:hAnsi="Times New Roman"/>
          <w:sz w:val="24"/>
          <w:szCs w:val="24"/>
        </w:rPr>
        <w:t>tamento (cloração) através de sistemas de bombas dosadoras eletrônicos</w:t>
      </w:r>
      <w:r w:rsidRPr="0005171D">
        <w:rPr>
          <w:rFonts w:ascii="Times New Roman" w:hAnsi="Times New Roman"/>
          <w:sz w:val="24"/>
          <w:szCs w:val="24"/>
        </w:rPr>
        <w:t xml:space="preserve"> </w:t>
      </w:r>
      <w:r w:rsidR="00466C49">
        <w:rPr>
          <w:rFonts w:ascii="Times New Roman" w:hAnsi="Times New Roman"/>
          <w:sz w:val="24"/>
          <w:szCs w:val="24"/>
        </w:rPr>
        <w:t xml:space="preserve">para o tratamento, monitoramento </w:t>
      </w:r>
      <w:r w:rsidRPr="0005171D">
        <w:rPr>
          <w:rFonts w:ascii="Times New Roman" w:hAnsi="Times New Roman"/>
          <w:sz w:val="24"/>
          <w:szCs w:val="24"/>
        </w:rPr>
        <w:t>de água para o consumo humano, de acordo com a legislação vigente, especialmente a Portaria de Consolidação n° 05 de 03 de outubro de 2017, Ministério da Saúde e seu anexo XX, em 16 (dezesseis) poços de captação de água subterrânea de uso coletivo</w:t>
      </w:r>
      <w:r w:rsidR="00466C49">
        <w:rPr>
          <w:rFonts w:ascii="Times New Roman" w:hAnsi="Times New Roman"/>
          <w:sz w:val="24"/>
          <w:szCs w:val="24"/>
        </w:rPr>
        <w:t>, no interior do Município. S</w:t>
      </w:r>
      <w:r w:rsidRPr="00327B23">
        <w:rPr>
          <w:rFonts w:ascii="Times New Roman" w:hAnsi="Times New Roman"/>
          <w:sz w:val="24"/>
          <w:szCs w:val="24"/>
        </w:rPr>
        <w:t>erão</w:t>
      </w:r>
      <w:r w:rsidR="00466C49">
        <w:rPr>
          <w:rFonts w:ascii="Times New Roman" w:hAnsi="Times New Roman"/>
          <w:sz w:val="24"/>
          <w:szCs w:val="24"/>
        </w:rPr>
        <w:t xml:space="preserve"> tratados</w:t>
      </w:r>
      <w:r w:rsidRPr="00327B23">
        <w:rPr>
          <w:rFonts w:ascii="Times New Roman" w:hAnsi="Times New Roman"/>
          <w:sz w:val="24"/>
          <w:szCs w:val="24"/>
        </w:rPr>
        <w:t xml:space="preserve"> 16 poços, no entanto, estes podem variar pa</w:t>
      </w:r>
      <w:r w:rsidR="00327B23" w:rsidRPr="00327B23">
        <w:rPr>
          <w:rFonts w:ascii="Times New Roman" w:hAnsi="Times New Roman"/>
          <w:sz w:val="24"/>
          <w:szCs w:val="24"/>
        </w:rPr>
        <w:t>ra mais ou para menos conforme a</w:t>
      </w:r>
      <w:r w:rsidRPr="00327B23">
        <w:rPr>
          <w:rFonts w:ascii="Times New Roman" w:hAnsi="Times New Roman"/>
          <w:sz w:val="24"/>
          <w:szCs w:val="24"/>
        </w:rPr>
        <w:t xml:space="preserve"> demanda do município. </w:t>
      </w:r>
    </w:p>
    <w:p w:rsidR="001C1916" w:rsidRPr="00327B23" w:rsidRDefault="001C1916" w:rsidP="00E05CAF">
      <w:pPr>
        <w:spacing w:before="120" w:after="120"/>
        <w:ind w:left="0" w:firstLine="360"/>
        <w:jc w:val="both"/>
        <w:rPr>
          <w:rFonts w:ascii="Times New Roman" w:hAnsi="Times New Roman"/>
          <w:sz w:val="24"/>
          <w:szCs w:val="24"/>
          <w:lang w:eastAsia="pt-BR"/>
        </w:rPr>
      </w:pPr>
      <w:r w:rsidRPr="00327B23">
        <w:rPr>
          <w:rFonts w:ascii="Times New Roman" w:hAnsi="Times New Roman"/>
          <w:sz w:val="24"/>
          <w:szCs w:val="24"/>
          <w:lang w:eastAsia="pt-BR"/>
        </w:rPr>
        <w:t>O objeto da contratação constitui-se</w:t>
      </w:r>
      <w:r w:rsidR="007614CF" w:rsidRPr="00327B23">
        <w:rPr>
          <w:rFonts w:ascii="Times New Roman" w:hAnsi="Times New Roman"/>
          <w:sz w:val="24"/>
          <w:szCs w:val="24"/>
          <w:lang w:eastAsia="pt-BR"/>
        </w:rPr>
        <w:t xml:space="preserve"> inicialmente 16 poços</w:t>
      </w:r>
      <w:r w:rsidRPr="00327B23">
        <w:rPr>
          <w:rFonts w:ascii="Times New Roman" w:hAnsi="Times New Roman"/>
          <w:sz w:val="24"/>
          <w:szCs w:val="24"/>
          <w:lang w:eastAsia="pt-BR"/>
        </w:rPr>
        <w:t>, conforme descrição a seguir:</w:t>
      </w:r>
    </w:p>
    <w:p w:rsidR="007614CF" w:rsidRDefault="007614CF" w:rsidP="0005171D">
      <w:pPr>
        <w:spacing w:before="120" w:after="120"/>
        <w:ind w:left="0" w:firstLine="36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14E14" w:rsidRPr="00327B23" w:rsidRDefault="00714E14" w:rsidP="0005171D">
      <w:pPr>
        <w:spacing w:before="120" w:after="120"/>
        <w:ind w:left="0" w:firstLine="36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C1916" w:rsidRPr="00327B23" w:rsidRDefault="0005171D" w:rsidP="0005171D">
      <w:pPr>
        <w:spacing w:before="120" w:after="120" w:line="276" w:lineRule="auto"/>
        <w:ind w:left="0" w:firstLine="0"/>
        <w:jc w:val="both"/>
        <w:rPr>
          <w:rFonts w:ascii="Times New Roman" w:hAnsi="Times New Roman"/>
          <w:b/>
          <w:lang w:eastAsia="pt-BR"/>
        </w:rPr>
      </w:pPr>
      <w:r w:rsidRPr="00327B23">
        <w:rPr>
          <w:rFonts w:ascii="Times New Roman" w:hAnsi="Times New Roman"/>
          <w:b/>
          <w:lang w:eastAsia="pt-BR"/>
        </w:rPr>
        <w:lastRenderedPageBreak/>
        <w:t>T</w:t>
      </w:r>
      <w:r w:rsidR="001C1916" w:rsidRPr="00327B23">
        <w:rPr>
          <w:rFonts w:ascii="Times New Roman" w:hAnsi="Times New Roman"/>
          <w:b/>
          <w:lang w:eastAsia="pt-BR"/>
        </w:rPr>
        <w:t xml:space="preserve">abela 1 – </w:t>
      </w:r>
      <w:r w:rsidR="007614CF" w:rsidRPr="00327B23">
        <w:rPr>
          <w:rFonts w:ascii="Times New Roman" w:hAnsi="Times New Roman"/>
          <w:b/>
          <w:lang w:eastAsia="pt-BR"/>
        </w:rPr>
        <w:t xml:space="preserve">poços </w:t>
      </w:r>
      <w:r w:rsidR="001C1916" w:rsidRPr="00327B23">
        <w:rPr>
          <w:rFonts w:ascii="Times New Roman" w:hAnsi="Times New Roman"/>
          <w:b/>
          <w:lang w:eastAsia="pt-BR"/>
        </w:rPr>
        <w:t>objeto da licitação</w:t>
      </w:r>
    </w:p>
    <w:tbl>
      <w:tblPr>
        <w:tblW w:w="949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1985"/>
        <w:gridCol w:w="1559"/>
        <w:gridCol w:w="1418"/>
      </w:tblGrid>
      <w:tr w:rsidR="00F2643B" w:rsidRPr="00327B23" w:rsidTr="0005171D">
        <w:trPr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5E0C1E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IDENTIFCAÇÃO DO POÇO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COORDENADAS GEOGRÁFICAS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Reservatório </w:t>
            </w:r>
          </w:p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Água (m</w:t>
            </w: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Consumo</w:t>
            </w:r>
          </w:p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Aprox.. (m</w:t>
            </w: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  <w:r w:rsidRPr="00327B2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)</w:t>
            </w:r>
          </w:p>
        </w:tc>
      </w:tr>
      <w:tr w:rsidR="00F2643B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546D8D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O1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E4183A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da Cohab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5E0C1E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28.641443°</w:t>
            </w:r>
          </w:p>
          <w:p w:rsidR="00F2643B" w:rsidRPr="00327B23" w:rsidRDefault="00F2643B" w:rsidP="004F4BC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Long.54.118176°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F2643B" w:rsidP="005E0C1E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F2643B" w:rsidP="005E0C1E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F2643B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Colégio Estadual Antônio Mastela - 1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28.645901°</w:t>
            </w:r>
          </w:p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Long.54.116549°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</w:p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180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F2643B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Colégio Estadual Antônio Mastela - 2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28.646090°</w:t>
            </w:r>
          </w:p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Long.54.116534°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30 m3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F2643B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Ginásio Municipal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28.647292°</w:t>
            </w:r>
          </w:p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Long.54.115271°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2F74C4" w:rsidP="002F74C4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Centro re</w:t>
            </w:r>
            <w:r w:rsidR="00805A90" w:rsidRPr="00327B23">
              <w:rPr>
                <w:rFonts w:ascii="Times New Roman" w:hAnsi="Times New Roman"/>
                <w:color w:val="000000"/>
              </w:rPr>
              <w:t>de distribuição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805A90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360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F2643B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Central de Resfriamento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28.650401°</w:t>
            </w:r>
          </w:p>
          <w:p w:rsidR="00F2643B" w:rsidRPr="00327B23" w:rsidRDefault="00F2643B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Long.54.113138°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2F74C4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Centro</w:t>
            </w:r>
            <w:r w:rsidR="00805A90" w:rsidRPr="00327B23">
              <w:rPr>
                <w:rFonts w:ascii="Times New Roman" w:hAnsi="Times New Roman"/>
                <w:color w:val="000000"/>
              </w:rPr>
              <w:t xml:space="preserve"> rede distribuição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43B" w:rsidRPr="00327B23" w:rsidRDefault="00805A90" w:rsidP="00F2643B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270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617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Garagem Municipal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28.642009°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Long.54.104744°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60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Assentamento Varig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28.666352°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Long.54.104744°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Assentamento Ceres (do Linto)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28.678367°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Long.54.075294°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Renito Faller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28.685985°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Long.54.052738°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Vila São Pedro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28.605184°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Long.54.065615°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40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Sol Nascente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28.648117°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Long.54.118891°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50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340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Bottura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28.647642°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Long.54.119345°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25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100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da Avenida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28.650006°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Long.54.123920°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2F74C4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Centro</w:t>
            </w:r>
            <w:r w:rsidR="00805A90" w:rsidRPr="00327B23">
              <w:rPr>
                <w:rFonts w:ascii="Times New Roman" w:hAnsi="Times New Roman"/>
                <w:color w:val="000000"/>
              </w:rPr>
              <w:t xml:space="preserve"> rede distribuição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300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do Matadouro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28.6659427°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Long.54.126427°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05171D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 xml:space="preserve">Poço Carajá Grande </w:t>
            </w:r>
            <w:r w:rsidR="00805A90" w:rsidRPr="00327B23">
              <w:rPr>
                <w:rFonts w:ascii="Times New Roman" w:hAnsi="Times New Roman"/>
                <w:color w:val="000000"/>
              </w:rPr>
              <w:t>Escola Silva Jardim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28.763380°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Long.54.170847°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27B23">
              <w:rPr>
                <w:rFonts w:ascii="Times New Roman" w:hAnsi="Times New Roman"/>
                <w:color w:val="000000"/>
              </w:rPr>
              <w:t>/dia</w:t>
            </w:r>
          </w:p>
        </w:tc>
      </w:tr>
      <w:tr w:rsidR="00805A90" w:rsidRPr="00327B23" w:rsidTr="0005171D">
        <w:trPr>
          <w:trHeight w:val="2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05171D" w:rsidP="0005171D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Poço Potreirinhos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Lat. 28.650006°</w:t>
            </w:r>
          </w:p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Long.54.123920°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327B23" w:rsidRDefault="00805A90" w:rsidP="00805A90">
            <w:pPr>
              <w:spacing w:before="0"/>
              <w:ind w:left="0" w:firstLine="0"/>
              <w:rPr>
                <w:rFonts w:ascii="Times New Roman" w:hAnsi="Times New Roman"/>
                <w:color w:val="000000"/>
              </w:rPr>
            </w:pPr>
            <w:r w:rsidRPr="00327B23">
              <w:rPr>
                <w:rFonts w:ascii="Times New Roman" w:hAnsi="Times New Roman"/>
                <w:color w:val="000000"/>
              </w:rPr>
              <w:t>20 m</w:t>
            </w:r>
            <w:r w:rsidRPr="00327B2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5A90" w:rsidRPr="0048449F" w:rsidRDefault="00805A90" w:rsidP="0048449F">
            <w:pPr>
              <w:pStyle w:val="PargrafodaLista"/>
              <w:numPr>
                <w:ilvl w:val="0"/>
                <w:numId w:val="11"/>
              </w:numPr>
              <w:spacing w:before="0"/>
              <w:rPr>
                <w:rFonts w:ascii="Times New Roman" w:hAnsi="Times New Roman"/>
                <w:color w:val="000000"/>
              </w:rPr>
            </w:pPr>
            <w:r w:rsidRPr="0048449F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48449F">
              <w:rPr>
                <w:rFonts w:ascii="Times New Roman" w:hAnsi="Times New Roman"/>
                <w:color w:val="000000"/>
              </w:rPr>
              <w:t>/dia</w:t>
            </w:r>
          </w:p>
        </w:tc>
      </w:tr>
    </w:tbl>
    <w:p w:rsidR="00E7333B" w:rsidRPr="00327B23" w:rsidRDefault="00E7333B" w:rsidP="00E7333B">
      <w:pPr>
        <w:pStyle w:val="Default"/>
        <w:rPr>
          <w:sz w:val="22"/>
          <w:szCs w:val="22"/>
        </w:rPr>
      </w:pPr>
    </w:p>
    <w:p w:rsidR="00195566" w:rsidRDefault="00195566" w:rsidP="00E7333B">
      <w:pPr>
        <w:pStyle w:val="Default"/>
        <w:rPr>
          <w:sz w:val="23"/>
          <w:szCs w:val="23"/>
        </w:rPr>
      </w:pPr>
    </w:p>
    <w:p w:rsidR="00327B23" w:rsidRDefault="0048449F" w:rsidP="0048449F">
      <w:pPr>
        <w:pStyle w:val="Default"/>
        <w:tabs>
          <w:tab w:val="left" w:pos="142"/>
        </w:tabs>
        <w:spacing w:line="360" w:lineRule="auto"/>
        <w:jc w:val="both"/>
        <w:rPr>
          <w:b/>
        </w:rPr>
      </w:pPr>
      <w:r>
        <w:rPr>
          <w:b/>
        </w:rPr>
        <w:t xml:space="preserve">2 </w:t>
      </w:r>
      <w:r w:rsidR="00A91810" w:rsidRPr="00A91810">
        <w:rPr>
          <w:b/>
        </w:rPr>
        <w:t>D</w:t>
      </w:r>
      <w:r w:rsidR="00327B23" w:rsidRPr="00A91810">
        <w:rPr>
          <w:b/>
        </w:rPr>
        <w:t>iretrizes gerais para contratação de serviço especializado para tratamento e controle de Sistema de Abastecimento de Água</w:t>
      </w:r>
      <w:r w:rsidR="00E31DE6">
        <w:rPr>
          <w:b/>
        </w:rPr>
        <w:t>.</w:t>
      </w:r>
    </w:p>
    <w:p w:rsidR="00A91810" w:rsidRPr="00A91810" w:rsidRDefault="00A91810" w:rsidP="00E05CAF">
      <w:pPr>
        <w:pStyle w:val="Default"/>
        <w:tabs>
          <w:tab w:val="left" w:pos="567"/>
        </w:tabs>
        <w:spacing w:line="360" w:lineRule="auto"/>
        <w:jc w:val="both"/>
        <w:rPr>
          <w:b/>
        </w:rPr>
      </w:pP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>
        <w:t xml:space="preserve">É obrigatória a apresentação do Certificado de Regularidade da empresa junto ao conselho de classe respectivo. </w:t>
      </w: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>
        <w:t>As empresas que atuam no tratamento e manutenção do sistema ou solução alternativa coletiva de abastecimento de água para consumo humano deverão dispor de profissional com registro ativo junto ao respectivo conselho de classe, devendo apresentar a Anotação de Responsabilidade Técnica (ART), Anotação de Função Técnica (AFT) ou documento similar.</w:t>
      </w:r>
    </w:p>
    <w:p w:rsidR="00A91810" w:rsidRPr="00E2500F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>
        <w:t xml:space="preserve">A Anotação de Responsabilidade Técnica (ART) ou Anotação de Função Técnica (AFT) deverá conter a descrição detalhada das atividades pelas quais o profissional se responsabilizará de acordo com o contrato de prestação de serviço, especificando, inclusive, a localização do sistema ou solução alternativa coletiva e o município contratante. A ART ou AFT deverá ser mantida atualizada e com </w:t>
      </w:r>
      <w:r w:rsidRPr="00E2500F">
        <w:rPr>
          <w:color w:val="auto"/>
        </w:rPr>
        <w:t xml:space="preserve">validade durante a vigência do contrato. </w:t>
      </w:r>
    </w:p>
    <w:p w:rsidR="00327B23" w:rsidRPr="00E2500F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 w:rsidRPr="00E2500F">
        <w:rPr>
          <w:color w:val="auto"/>
        </w:rPr>
        <w:t xml:space="preserve"> Deverá ser exigida a apresentação do memorial descritivo completo do sistema ou solução alternativa coletiva de abastecimento de água, contendo o detalhamento do processo de tratamento (equipamentos, tecnologia utilizada, materiais constituintes, dimensionamento, etc.), bem como os Procedimentos Operacionais Padrão (POP) relativos ao tratamento e controle da água. </w:t>
      </w: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 w:rsidRPr="00E2500F">
        <w:rPr>
          <w:color w:val="auto"/>
        </w:rPr>
        <w:t xml:space="preserve">A empresa deverá possuir o Alvará Sanitário e o Alvará de Localização e Funcionamento válidos e expedidos pelos órgãos competentes da municipalidade. Também deverá apresentar a licença ambiental para transporte de produtos químicos perigosos (Fontes Móveis de Poluição) e a declaração </w:t>
      </w:r>
      <w:r>
        <w:t xml:space="preserve">assinada e carimbada pela empresa receptora, devidamente licenciada, que dará o destino ambientalmente correto aos resíduos a serem gerenciados. Na vigência do contrato, a empresa vencedora deverá apresentar à vigilância municipal, semestralmente, os certificados de destinação dos resíduos do sistema ou da solução alternativa coletiva. </w:t>
      </w: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>
        <w:t xml:space="preserve">Deverão ser apresentados os Laudos de Atendimento aos Requisitos da Saúde (LARS) dos produtos químicos utilizados no tratamento da água e o CBRS (Comprovação de Baixo Risco à Saúde) de acordo com o disposto na norma técnica NBR 15784/2017, conforme modelos especificados na Nota Informativa Nº 157/DSAST/SVS/MS/2014. </w:t>
      </w:r>
    </w:p>
    <w:p w:rsidR="00C519D5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>
        <w:t>É obrigatória a apresentação de declaração</w:t>
      </w:r>
      <w:r w:rsidR="00466C49">
        <w:t xml:space="preserve"> reconhecido firma em cartório,</w:t>
      </w:r>
      <w:r>
        <w:t xml:space="preserve"> assinada e carimbada pelo responsável pelo laboratório analítico que realizará as análises laboratoriais de controle do sistema ou da solução alternativa coletiva de abastecimento de água para consumo humano</w:t>
      </w:r>
      <w:r w:rsidR="00466C49">
        <w:t xml:space="preserve"> no município de </w:t>
      </w:r>
    </w:p>
    <w:p w:rsidR="00C519D5" w:rsidRDefault="00C519D5" w:rsidP="00C519D5">
      <w:pPr>
        <w:pStyle w:val="Default"/>
        <w:tabs>
          <w:tab w:val="left" w:pos="284"/>
          <w:tab w:val="left" w:pos="567"/>
        </w:tabs>
        <w:spacing w:line="360" w:lineRule="auto"/>
        <w:jc w:val="both"/>
      </w:pPr>
    </w:p>
    <w:p w:rsidR="00A91810" w:rsidRDefault="00466C49" w:rsidP="00C519D5">
      <w:pPr>
        <w:pStyle w:val="Default"/>
        <w:tabs>
          <w:tab w:val="left" w:pos="284"/>
          <w:tab w:val="left" w:pos="567"/>
        </w:tabs>
        <w:spacing w:line="360" w:lineRule="auto"/>
        <w:jc w:val="both"/>
      </w:pPr>
      <w:r>
        <w:t>Jóia</w:t>
      </w:r>
      <w:r w:rsidR="00327B23">
        <w:t xml:space="preserve">, quando esta </w:t>
      </w:r>
      <w:r w:rsidR="00A91810">
        <w:t>n</w:t>
      </w:r>
      <w:r w:rsidR="00327B23">
        <w:t xml:space="preserve">ão possuir laboratório próprio. O laboratório analítico de controle deverá atender às exigências do artigo 21, do Anexo XX, da Portaria de Consolidação n°. 5, de 03 de outubro de 2017, e possuir todas as licenças ambientais necessárias, bem como o alvará sanitário expedido pela Vigilância Sanitária Estadual. </w:t>
      </w:r>
    </w:p>
    <w:p w:rsidR="00A91810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>
        <w:t>Os responsáveis pelo controle da qualidade da água de sistema e solução alternativa coletiva de abastecimento de água para consumo humano deverão elaborar e submeter para análise e aprovação do responsável pelo VIGIAGUA do município, o plano de amostragem de cada sistema e solução, respeitando os planos mínimos de amostragem ex</w:t>
      </w:r>
      <w:r w:rsidR="00466C49">
        <w:t xml:space="preserve">pressos nos Anexos </w:t>
      </w:r>
      <w:r>
        <w:t xml:space="preserve">14 do Anexo XX, da Portaria de Consolidação </w:t>
      </w:r>
      <w:r w:rsidR="00A91810">
        <w:t>nº 05, de 03 de outubro de 2017.</w:t>
      </w:r>
    </w:p>
    <w:p w:rsidR="00A91810" w:rsidRDefault="00327B23" w:rsidP="00E05CAF">
      <w:pPr>
        <w:pStyle w:val="Default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>
        <w:t xml:space="preserve">Apresentar, até o 10º (décimo) dia do mês subsequente, os laudos das análises realizadas pelo laboratório analítico, e os dados referentes ao resumo do controle devidamente preenchido, conforme modelo a ser definido pelo responsável pelo VIGIAGUA do município. </w:t>
      </w: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 xml:space="preserve">A empresa deverá fornecer os insumos e equipamentos suficientes e adequados para o correto tratamento da água, de acordo com a modalidade do contrato público, em quantidades suficientes para a garantia da potabilidade da água fornecida para consumo humano. </w:t>
      </w: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 xml:space="preserve">A empresa que presta serviço especializado no tratamento de água para consumo humano deverá dispor de assistência técnica em tempo integral em dias úteis, sábados, domingos e feriados, garantindo assim a manutenção da potabilidade da água distribuída por sistema de abastecimento ou da solução alternativa coletiva. </w:t>
      </w:r>
    </w:p>
    <w:p w:rsidR="00A91810" w:rsidRDefault="00327B23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>A empresa deverá se responsabilizar pela manutenção e, se necessário, pela substituição dos equipamentos e peças, conforme a modalidade do contrato público firmado.</w:t>
      </w:r>
    </w:p>
    <w:p w:rsidR="00910A1C" w:rsidRDefault="00327B23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 xml:space="preserve">A empresa deverá realizar, com periodicidade anual, a limpeza e desinfecção de todos os reservatórios de água do sistema ou da solução alternativa coletiva de abastecimento de água, conforme determina a Portaria n°1237/2014, e deverá encaminhar o certificado de limpeza ao responsável pelo VIGIAGUA do município. </w:t>
      </w:r>
    </w:p>
    <w:p w:rsidR="00910A1C" w:rsidRDefault="00327B23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 xml:space="preserve">Caso seja constatado algum parâmetro acima do Valor Máximo Permitido (VMP) tanto na água bruta quanto na água tratada, que a enquadre como imprópria para consumo humano, o prestador de serviço deverá, de imediato, comunicar o contratante bem como os responsáveis pelo Programa VIGIAGUA municipal e estadual para a tomada de medidas administrativas cabíveis. </w:t>
      </w:r>
    </w:p>
    <w:p w:rsidR="00327B23" w:rsidRDefault="00327B23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>Deverão ser atendidas as dema</w:t>
      </w:r>
      <w:r w:rsidR="00B4407B">
        <w:t xml:space="preserve">is obrigações contidas no Anexo 14 do anexo </w:t>
      </w:r>
      <w:r>
        <w:t>XX, da Portaria de Consolidação do MS n°05/2017, assim como legislações, resoluções, normas e portarias estaduais relacionadas à potabilidade da água para consumo humano.</w:t>
      </w:r>
    </w:p>
    <w:p w:rsidR="00910A1C" w:rsidRDefault="00910A1C" w:rsidP="00E05CAF">
      <w:pPr>
        <w:pStyle w:val="Default"/>
        <w:tabs>
          <w:tab w:val="left" w:pos="426"/>
          <w:tab w:val="left" w:pos="567"/>
        </w:tabs>
        <w:spacing w:line="360" w:lineRule="auto"/>
        <w:jc w:val="both"/>
      </w:pPr>
    </w:p>
    <w:p w:rsidR="00910A1C" w:rsidRDefault="00910A1C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>É obrigatório o processo de desinfecção ou cloração na água para consumo humano fornecida por Solução Alterna</w:t>
      </w:r>
      <w:r w:rsidR="00B4407B">
        <w:t>tiva Coletiva, conforme artigo 1</w:t>
      </w:r>
      <w:r>
        <w:t>4, Anexo XX, da Portaria de Consolidação n°05, de 03 de outubro de 2017. É obrigatória a manutenção de, no mínimo, 0,2 mg/L de cloro residual livre ou 2 mg/L de cloro residual combinado</w:t>
      </w:r>
    </w:p>
    <w:p w:rsidR="00910A1C" w:rsidRDefault="00910A1C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>Efetuar o controle diário do cloro residual livre, conforme o Anexo 14 do Anexo XX da Portaria de Consolidação MS nº 5/2017, do Ministério da Saúde. Manter os registros em local acessível para o acompanhamento do responsável pelo VIGIAGUA do município</w:t>
      </w:r>
      <w:r w:rsidR="00B4407B">
        <w:t xml:space="preserve"> (implantação será por conta do município)</w:t>
      </w:r>
      <w:r>
        <w:t xml:space="preserve">. </w:t>
      </w:r>
    </w:p>
    <w:p w:rsidR="00910A1C" w:rsidRDefault="00AA7705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>A</w:t>
      </w:r>
      <w:r w:rsidR="00910A1C">
        <w:t xml:space="preserve"> empresa deverá fornecer à municipalidade o equipamento para medição, reagente e o treinamento necessário para o correto controle diário do cloro. </w:t>
      </w:r>
    </w:p>
    <w:p w:rsidR="00910A1C" w:rsidRDefault="00910A1C" w:rsidP="00E05CAF">
      <w:pPr>
        <w:pStyle w:val="Defaul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</w:pPr>
      <w:r>
        <w:t>Realizar o número mínimo de amostras e frequência mínima de amostragem para Soluções Alternativas Coletivas, para os padrões físicos, químicos e microbiológicos, conforme o Anexo 14, do Anexo XX, da Portaria de Consolidação MS nº 5/2017. Coletar “</w:t>
      </w:r>
      <w:r w:rsidRPr="00A91810">
        <w:rPr>
          <w:i/>
        </w:rPr>
        <w:t>in loco</w:t>
      </w:r>
      <w:r>
        <w:t xml:space="preserve">” e com frequência mínima de amostragem de água mensal na saída do tratamento e em um ponto de consumo servido pelo poço tubular profundo (contendo descrição e localização dos pontos, conforme plano de amostragem aprovado); </w:t>
      </w:r>
    </w:p>
    <w:p w:rsidR="00244A85" w:rsidRPr="00E05CAF" w:rsidRDefault="00AD108A" w:rsidP="00C428D8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</w:pPr>
      <w:r w:rsidRPr="00E05CAF">
        <w:t>Todas as análises de água que serão realizadas no município de Jóia deverão ser em laboratório analítico com</w:t>
      </w:r>
      <w:r w:rsidR="00244A85" w:rsidRPr="00E05CAF">
        <w:t xml:space="preserve"> os seguintes registros:</w:t>
      </w:r>
    </w:p>
    <w:p w:rsidR="00244A85" w:rsidRPr="00244A85" w:rsidRDefault="00244A85" w:rsidP="00E05CAF">
      <w:pPr>
        <w:pStyle w:val="Default"/>
        <w:numPr>
          <w:ilvl w:val="1"/>
          <w:numId w:val="8"/>
        </w:numPr>
        <w:spacing w:line="360" w:lineRule="auto"/>
        <w:ind w:left="1134"/>
        <w:jc w:val="both"/>
        <w:rPr>
          <w:color w:val="auto"/>
        </w:rPr>
      </w:pPr>
      <w:r w:rsidRPr="00244A85">
        <w:rPr>
          <w:color w:val="auto"/>
        </w:rPr>
        <w:t xml:space="preserve"> Registro do laboratório junto ao Conselho Regional de Química (CRQ).</w:t>
      </w:r>
    </w:p>
    <w:p w:rsidR="00244A85" w:rsidRPr="00244A85" w:rsidRDefault="00E05CAF" w:rsidP="00E05CAF">
      <w:pPr>
        <w:pStyle w:val="Default"/>
        <w:numPr>
          <w:ilvl w:val="1"/>
          <w:numId w:val="8"/>
        </w:numPr>
        <w:spacing w:line="360" w:lineRule="auto"/>
        <w:ind w:left="1134"/>
        <w:jc w:val="both"/>
        <w:rPr>
          <w:color w:val="auto"/>
        </w:rPr>
      </w:pPr>
      <w:r>
        <w:rPr>
          <w:color w:val="auto"/>
        </w:rPr>
        <w:t xml:space="preserve"> </w:t>
      </w:r>
      <w:r w:rsidR="00244A85" w:rsidRPr="00244A85">
        <w:rPr>
          <w:color w:val="auto"/>
        </w:rPr>
        <w:t>Certidão de Regularidade do laboratório junto ao Conselho Regional de Química (CRQ).</w:t>
      </w:r>
    </w:p>
    <w:p w:rsidR="00244A85" w:rsidRPr="00244A85" w:rsidRDefault="00E05CAF" w:rsidP="00E05CAF">
      <w:pPr>
        <w:pStyle w:val="Default"/>
        <w:numPr>
          <w:ilvl w:val="1"/>
          <w:numId w:val="8"/>
        </w:numPr>
        <w:spacing w:line="360" w:lineRule="auto"/>
        <w:ind w:left="1134"/>
        <w:jc w:val="both"/>
        <w:rPr>
          <w:color w:val="auto"/>
        </w:rPr>
      </w:pPr>
      <w:r>
        <w:rPr>
          <w:color w:val="auto"/>
        </w:rPr>
        <w:t xml:space="preserve"> </w:t>
      </w:r>
      <w:r w:rsidR="00244A85" w:rsidRPr="00244A85">
        <w:rPr>
          <w:color w:val="auto"/>
        </w:rPr>
        <w:t>Alvará Sanitário Estadual do Laboratório para atividade de laboratório Analítico.</w:t>
      </w:r>
    </w:p>
    <w:p w:rsidR="00E05CAF" w:rsidRDefault="00E05CAF" w:rsidP="00E05CAF">
      <w:pPr>
        <w:pStyle w:val="Default"/>
        <w:numPr>
          <w:ilvl w:val="1"/>
          <w:numId w:val="8"/>
        </w:numPr>
        <w:spacing w:line="360" w:lineRule="auto"/>
        <w:ind w:left="1134"/>
        <w:jc w:val="both"/>
        <w:rPr>
          <w:color w:val="auto"/>
        </w:rPr>
      </w:pPr>
      <w:r>
        <w:rPr>
          <w:color w:val="auto"/>
        </w:rPr>
        <w:t xml:space="preserve"> </w:t>
      </w:r>
      <w:r w:rsidR="00244A85" w:rsidRPr="00244A85">
        <w:rPr>
          <w:color w:val="auto"/>
        </w:rPr>
        <w:t>Comprovação de Licenciamento Ambiental do laboratório indicado;</w:t>
      </w:r>
    </w:p>
    <w:p w:rsidR="00244A85" w:rsidRPr="00E05CAF" w:rsidRDefault="00244A85" w:rsidP="00E05CAF">
      <w:pPr>
        <w:pStyle w:val="Default"/>
        <w:numPr>
          <w:ilvl w:val="1"/>
          <w:numId w:val="8"/>
        </w:numPr>
        <w:spacing w:line="360" w:lineRule="auto"/>
        <w:ind w:left="1134"/>
        <w:jc w:val="both"/>
        <w:rPr>
          <w:color w:val="auto"/>
        </w:rPr>
      </w:pPr>
      <w:r w:rsidRPr="00E05CAF">
        <w:rPr>
          <w:color w:val="auto"/>
        </w:rPr>
        <w:t>Apresentação de documento reconhecido e certificado, expedido por órgão competente que comprove a implantação do sistema de gestão de qualidade nos termos da NBR ISO/IEC 17025:2005, do laboratório onde serão realizadas as análises de controle, conforme Artigo 21, do Anexo XX da Portaria de Consolidação MS nº 5/2017.</w:t>
      </w:r>
    </w:p>
    <w:p w:rsidR="00A608BF" w:rsidRDefault="00910A1C" w:rsidP="00E05CAF">
      <w:pPr>
        <w:pStyle w:val="Default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</w:pPr>
      <w:r>
        <w:t xml:space="preserve">Para manancial de água subterrânea, realizar o controle semestral da água bruta, em atendimento ao artigo 40, do Anexo XX, da Portaria de Consolidação MS nº 5/2017. Conforme previsão dos artigos 12 e 13, da Resolução CONAMA 396/2008, deverão ser analisados, semestralmente, os seguintes parâmetros na água bruta: sólidos totais dissolvidos, nitrato, Escherichia coli, pH, turbidez e condutividade elétrica. O relatório analítico deverá ser apresentado ao responsável pelo VIGIAGUA do município. Ocorrendo evento ou situação que necessite uma investigação detalhada junto ao poço, </w:t>
      </w:r>
    </w:p>
    <w:p w:rsidR="00A608BF" w:rsidRDefault="00A608BF" w:rsidP="00A608BF">
      <w:pPr>
        <w:pStyle w:val="Default"/>
        <w:tabs>
          <w:tab w:val="left" w:pos="142"/>
          <w:tab w:val="left" w:pos="426"/>
        </w:tabs>
        <w:spacing w:line="360" w:lineRule="auto"/>
        <w:jc w:val="both"/>
      </w:pPr>
    </w:p>
    <w:p w:rsidR="00910A1C" w:rsidRDefault="00910A1C" w:rsidP="00A608BF">
      <w:pPr>
        <w:pStyle w:val="Default"/>
        <w:tabs>
          <w:tab w:val="left" w:pos="142"/>
          <w:tab w:val="left" w:pos="426"/>
        </w:tabs>
        <w:spacing w:line="360" w:lineRule="auto"/>
        <w:jc w:val="both"/>
      </w:pPr>
      <w:r>
        <w:t>poderá ser solicitada a referi</w:t>
      </w:r>
      <w:r w:rsidR="00454C29">
        <w:t xml:space="preserve">da análise em tempo inferior a 15 </w:t>
      </w:r>
      <w:r>
        <w:t>(</w:t>
      </w:r>
      <w:r w:rsidR="00454C29">
        <w:t>quinze</w:t>
      </w:r>
      <w:r>
        <w:t xml:space="preserve">) </w:t>
      </w:r>
      <w:r w:rsidR="00454C29">
        <w:t>dias</w:t>
      </w:r>
      <w:r>
        <w:t>, inclusive com a complementação de parâmetros importantes para a investigação. Deverá ser instalada, antes da desinfecção, torneira para coleta das amostras de água bruta do poço que abastece a SAC.</w:t>
      </w:r>
    </w:p>
    <w:p w:rsidR="00910A1C" w:rsidRDefault="00910A1C" w:rsidP="002F74C4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A empresa deverá responsabilizar-se por todos os produtos utilizados no </w:t>
      </w:r>
      <w:r w:rsidR="007E6FDA">
        <w:t xml:space="preserve">tratamento, pelo </w:t>
      </w:r>
      <w:r>
        <w:t>transporte de produtos e funcionários até o local da SAC devidamente identificados, uniformizados e com o correto uso de equipamentos de segurança necessários</w:t>
      </w:r>
      <w:r w:rsidR="00454C29">
        <w:t xml:space="preserve"> e deverá ter implantado sistema de rastreamento veicular quando ocorrer as visitas semanais e toda a prestação de serviço no Município de Jóia e fornecimentos mensal da planilha referente ao rastreamento.</w:t>
      </w:r>
    </w:p>
    <w:p w:rsidR="00E7333B" w:rsidRPr="004B449D" w:rsidRDefault="00E7333B" w:rsidP="00E05CAF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9705D3">
        <w:rPr>
          <w:color w:val="auto"/>
        </w:rPr>
        <w:t>Prestar assistência técnica 24 horas</w:t>
      </w:r>
      <w:r w:rsidR="009B685A" w:rsidRPr="009705D3">
        <w:rPr>
          <w:color w:val="auto"/>
        </w:rPr>
        <w:t xml:space="preserve"> para emergências eventuais</w:t>
      </w:r>
      <w:r w:rsidRPr="009705D3">
        <w:rPr>
          <w:color w:val="auto"/>
        </w:rPr>
        <w:t xml:space="preserve"> e </w:t>
      </w:r>
      <w:r w:rsidR="00454C29">
        <w:rPr>
          <w:color w:val="auto"/>
        </w:rPr>
        <w:t>realizar 4</w:t>
      </w:r>
      <w:r w:rsidR="004C5FB0" w:rsidRPr="009705D3">
        <w:rPr>
          <w:color w:val="auto"/>
        </w:rPr>
        <w:t xml:space="preserve"> (</w:t>
      </w:r>
      <w:r w:rsidR="00454C29">
        <w:rPr>
          <w:color w:val="auto"/>
        </w:rPr>
        <w:t>quatro</w:t>
      </w:r>
      <w:r w:rsidRPr="009705D3">
        <w:rPr>
          <w:color w:val="auto"/>
        </w:rPr>
        <w:t>) visitas técnicas mensais</w:t>
      </w:r>
      <w:r w:rsidR="00454C29">
        <w:rPr>
          <w:color w:val="auto"/>
        </w:rPr>
        <w:t>, sendo uma semanalmente</w:t>
      </w:r>
      <w:r w:rsidRPr="009705D3">
        <w:rPr>
          <w:color w:val="auto"/>
        </w:rPr>
        <w:t xml:space="preserve"> pelo responsável técnico da </w:t>
      </w:r>
      <w:r w:rsidR="002F74C4" w:rsidRPr="009705D3">
        <w:rPr>
          <w:color w:val="auto"/>
        </w:rPr>
        <w:t>e</w:t>
      </w:r>
      <w:r w:rsidRPr="009705D3">
        <w:rPr>
          <w:color w:val="auto"/>
        </w:rPr>
        <w:t>mpresa habilitado no CRQ, com atestado de visita</w:t>
      </w:r>
      <w:r w:rsidR="002F74C4" w:rsidRPr="009705D3">
        <w:rPr>
          <w:color w:val="auto"/>
        </w:rPr>
        <w:t xml:space="preserve"> junto as estações de tratamento</w:t>
      </w:r>
      <w:r w:rsidRPr="009705D3">
        <w:rPr>
          <w:color w:val="auto"/>
        </w:rPr>
        <w:t xml:space="preserve"> para</w:t>
      </w:r>
      <w:r w:rsidR="002F74C4" w:rsidRPr="009705D3">
        <w:rPr>
          <w:color w:val="auto"/>
        </w:rPr>
        <w:t xml:space="preserve"> controle bacteriológico (liquido), na rede de distribuição. Ainda para realizar a</w:t>
      </w:r>
      <w:r w:rsidRPr="009705D3">
        <w:rPr>
          <w:color w:val="auto"/>
        </w:rPr>
        <w:t xml:space="preserve"> manutenção dos equipamentos e</w:t>
      </w:r>
      <w:r w:rsidRPr="004B449D">
        <w:rPr>
          <w:color w:val="auto"/>
        </w:rPr>
        <w:t xml:space="preserve"> insumos conforme necessário ou a qualquer tempo em caso de alteração dos padrões de potabilidade da água, ou alteração dos valores do cloro residual livre na rede, conforme legislação vigente;</w:t>
      </w:r>
    </w:p>
    <w:p w:rsidR="00E7333B" w:rsidRPr="004B449D" w:rsidRDefault="00E7333B" w:rsidP="00E05CAF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4B449D">
        <w:rPr>
          <w:color w:val="auto"/>
        </w:rPr>
        <w:t>O serviço prestado deve garantir o atendimento</w:t>
      </w:r>
      <w:r>
        <w:rPr>
          <w:color w:val="auto"/>
        </w:rPr>
        <w:t xml:space="preserve"> </w:t>
      </w:r>
      <w:r w:rsidRPr="004B449D">
        <w:rPr>
          <w:color w:val="auto"/>
        </w:rPr>
        <w:t xml:space="preserve">aos requisitos de qualidade da água estipulados pela legislação vigente, devendo atender aos </w:t>
      </w:r>
      <w:r w:rsidR="00F6212C">
        <w:rPr>
          <w:color w:val="auto"/>
        </w:rPr>
        <w:t>padrões de potabilidade da água.</w:t>
      </w:r>
    </w:p>
    <w:p w:rsidR="00A959CF" w:rsidRDefault="00A959CF" w:rsidP="00E05CAF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Realizar a coleta mensal de água de cada ponto onde ocorre o tratamento de água e realização de análise de parâmetros físicos químicos e microbiológicos conforme a portaria Consolidação MS-GN Nº 05/2017 com a apresentação de laud</w:t>
      </w:r>
      <w:r w:rsidR="00057512">
        <w:rPr>
          <w:color w:val="auto"/>
        </w:rPr>
        <w:t>o de análise. Realizar uma análise mensal em dois pontos, sendo uma na saída do tratamento e outra no ponto de consumo, conforme anexo 14 do anexo XX</w:t>
      </w:r>
      <w:r w:rsidR="00057512" w:rsidRPr="00057512">
        <w:rPr>
          <w:color w:val="auto"/>
        </w:rPr>
        <w:t xml:space="preserve"> </w:t>
      </w:r>
      <w:r w:rsidR="00057512">
        <w:rPr>
          <w:color w:val="auto"/>
        </w:rPr>
        <w:t>a portaria Consolidação MS-GN Nº 05/2017.</w:t>
      </w:r>
      <w:r>
        <w:rPr>
          <w:color w:val="auto"/>
        </w:rPr>
        <w:t xml:space="preserve"> </w:t>
      </w:r>
    </w:p>
    <w:p w:rsidR="00A91810" w:rsidRDefault="00356F7D" w:rsidP="00E05CAF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Cedência e instalação de no mínimo 16 (dezesseis), dosadores eletrônicos </w:t>
      </w:r>
      <w:r w:rsidR="00D30D57">
        <w:rPr>
          <w:color w:val="auto"/>
        </w:rPr>
        <w:t xml:space="preserve">se necessário </w:t>
      </w:r>
      <w:r>
        <w:rPr>
          <w:color w:val="auto"/>
        </w:rPr>
        <w:t>abrigo (casa química) para proteção com acionamento automático de energia do quadro de comando até a casa química, contendo em seu interior um</w:t>
      </w:r>
      <w:r w:rsidR="0005331E">
        <w:rPr>
          <w:color w:val="auto"/>
        </w:rPr>
        <w:t xml:space="preserve"> conjunto de dosagem para cloro</w:t>
      </w:r>
      <w:r>
        <w:rPr>
          <w:color w:val="auto"/>
        </w:rPr>
        <w:t xml:space="preserve"> (controle </w:t>
      </w:r>
      <w:r w:rsidR="0005331E">
        <w:rPr>
          <w:color w:val="auto"/>
        </w:rPr>
        <w:t>bacteriológico</w:t>
      </w:r>
      <w:r>
        <w:rPr>
          <w:color w:val="auto"/>
        </w:rPr>
        <w:t xml:space="preserve">) </w:t>
      </w:r>
      <w:r w:rsidR="0005331E">
        <w:rPr>
          <w:color w:val="auto"/>
        </w:rPr>
        <w:t>para injeção do produto na rede de distribuição, próximo a saída de água do manancial, sendo que poderá haver o tratamento nos reservatórios</w:t>
      </w:r>
      <w:r w:rsidR="00D30D57">
        <w:rPr>
          <w:color w:val="auto"/>
        </w:rPr>
        <w:t>, caso comprovado tecnicamente pela empresa ou indicada pelo</w:t>
      </w:r>
      <w:r w:rsidR="009B685A">
        <w:rPr>
          <w:color w:val="auto"/>
        </w:rPr>
        <w:t xml:space="preserve"> </w:t>
      </w:r>
      <w:r w:rsidR="00280825">
        <w:rPr>
          <w:color w:val="auto"/>
        </w:rPr>
        <w:t>município</w:t>
      </w:r>
      <w:r w:rsidR="0005331E">
        <w:rPr>
          <w:color w:val="auto"/>
        </w:rPr>
        <w:t>.</w:t>
      </w:r>
    </w:p>
    <w:p w:rsidR="00B351AF" w:rsidRDefault="00B351AF" w:rsidP="00B351AF">
      <w:pPr>
        <w:pStyle w:val="Default"/>
        <w:jc w:val="both"/>
        <w:rPr>
          <w:color w:val="auto"/>
        </w:rPr>
      </w:pPr>
    </w:p>
    <w:p w:rsidR="00244A85" w:rsidRPr="00DA0CA8" w:rsidRDefault="0048449F" w:rsidP="00B351AF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3.</w:t>
      </w:r>
      <w:r w:rsidR="00DA0CA8" w:rsidRPr="00DA0CA8">
        <w:rPr>
          <w:b/>
          <w:color w:val="auto"/>
        </w:rPr>
        <w:t xml:space="preserve"> </w:t>
      </w:r>
      <w:r w:rsidR="00DA0CA8">
        <w:rPr>
          <w:b/>
          <w:color w:val="auto"/>
        </w:rPr>
        <w:t>Q</w:t>
      </w:r>
      <w:r w:rsidR="00DA0CA8" w:rsidRPr="00DA0CA8">
        <w:rPr>
          <w:b/>
          <w:color w:val="auto"/>
        </w:rPr>
        <w:t>ualificação técnica:</w:t>
      </w:r>
    </w:p>
    <w:p w:rsidR="00244A85" w:rsidRPr="00244A85" w:rsidRDefault="00244A85" w:rsidP="00244A85">
      <w:pPr>
        <w:pStyle w:val="Default"/>
        <w:ind w:firstLine="708"/>
        <w:jc w:val="both"/>
        <w:rPr>
          <w:color w:val="auto"/>
        </w:rPr>
      </w:pPr>
    </w:p>
    <w:p w:rsidR="00244A85" w:rsidRDefault="00244A85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 xml:space="preserve">Prova de que a empresa </w:t>
      </w:r>
      <w:r>
        <w:rPr>
          <w:color w:val="auto"/>
        </w:rPr>
        <w:t xml:space="preserve">inscrição junto ao conselho regional de </w:t>
      </w:r>
      <w:r w:rsidR="00B351AF">
        <w:rPr>
          <w:color w:val="auto"/>
        </w:rPr>
        <w:t>Química mediante a apresentação</w:t>
      </w:r>
      <w:r>
        <w:rPr>
          <w:color w:val="auto"/>
        </w:rPr>
        <w:t xml:space="preserve"> de sua certidão de </w:t>
      </w:r>
      <w:r w:rsidR="00B351AF">
        <w:rPr>
          <w:color w:val="auto"/>
        </w:rPr>
        <w:t>regularidade</w:t>
      </w:r>
      <w:r>
        <w:rPr>
          <w:color w:val="auto"/>
        </w:rPr>
        <w:t xml:space="preserve"> perante ao conselho.</w:t>
      </w:r>
    </w:p>
    <w:p w:rsidR="00244A85" w:rsidRDefault="00244A85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rPr>
          <w:color w:val="auto"/>
        </w:rPr>
        <w:t>Registro do Responsável técnico junto ao conselho regional de química.</w:t>
      </w:r>
    </w:p>
    <w:p w:rsidR="00244A85" w:rsidRDefault="00244A85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>A comprovação da situação funcional do(s) responsável(is) técnico(s) deverá ser efetuada através do livro de registro de funcionários, documentos do ato constitutivo da empresa ou contrato particular;</w:t>
      </w:r>
    </w:p>
    <w:p w:rsidR="00F16E6E" w:rsidRPr="00F16E6E" w:rsidRDefault="00F16E6E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t xml:space="preserve">Alvará Sanitário e Alvará de Localização e funcionamento, expedido pela Prefeitura da sede da empresa, em vigência; </w:t>
      </w:r>
    </w:p>
    <w:p w:rsidR="00B351AF" w:rsidRPr="00DA0CA8" w:rsidRDefault="00B351AF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DA0CA8">
        <w:rPr>
          <w:color w:val="auto"/>
        </w:rPr>
        <w:t xml:space="preserve">Declaração firmada pelo diretor da empresa e seu responsável técnico da ciência do cumprimento da realização da vistoria técnica semanal nos poços artesianos realizadas </w:t>
      </w:r>
      <w:r w:rsidR="00A11F4F">
        <w:rPr>
          <w:color w:val="auto"/>
        </w:rPr>
        <w:t>p</w:t>
      </w:r>
      <w:r w:rsidRPr="00DA0CA8">
        <w:rPr>
          <w:color w:val="auto"/>
        </w:rPr>
        <w:t>or profissional com habilitação legal junto ao conselho regional de química.</w:t>
      </w:r>
    </w:p>
    <w:p w:rsidR="00B351AF" w:rsidRPr="00244A85" w:rsidRDefault="00B351AF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rPr>
          <w:color w:val="auto"/>
        </w:rPr>
        <w:t>Declaração que a empresa fornecerá os laudos mensais por laboratório com as seguintes registros:</w:t>
      </w:r>
    </w:p>
    <w:p w:rsidR="00B351AF" w:rsidRPr="00244A85" w:rsidRDefault="00B351AF" w:rsidP="00DA0CA8">
      <w:pPr>
        <w:pStyle w:val="Default"/>
        <w:numPr>
          <w:ilvl w:val="2"/>
          <w:numId w:val="10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>Registro do laboratório junto ao Conselho Regional de Química (CRQ).</w:t>
      </w:r>
    </w:p>
    <w:p w:rsidR="00B351AF" w:rsidRPr="00244A85" w:rsidRDefault="00B351AF" w:rsidP="00DA0CA8">
      <w:pPr>
        <w:pStyle w:val="Default"/>
        <w:numPr>
          <w:ilvl w:val="2"/>
          <w:numId w:val="10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>Certidão de Regularidade do laboratório junto ao Conselho Regional de Química (CRQ).</w:t>
      </w:r>
    </w:p>
    <w:p w:rsidR="00B351AF" w:rsidRPr="00244A85" w:rsidRDefault="00B351AF" w:rsidP="00DA0CA8">
      <w:pPr>
        <w:pStyle w:val="Default"/>
        <w:numPr>
          <w:ilvl w:val="2"/>
          <w:numId w:val="10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>Alvará Sanitário Estadual do Laboratório para atividade de laboratório Analítico.</w:t>
      </w:r>
    </w:p>
    <w:p w:rsidR="00B351AF" w:rsidRPr="00244A85" w:rsidRDefault="00B351AF" w:rsidP="00DA0CA8">
      <w:pPr>
        <w:pStyle w:val="Default"/>
        <w:numPr>
          <w:ilvl w:val="2"/>
          <w:numId w:val="10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>Comprovação de Licenciamento Ambiental do laboratório indicado;</w:t>
      </w:r>
    </w:p>
    <w:p w:rsidR="00B351AF" w:rsidRPr="0048449F" w:rsidRDefault="00B351AF" w:rsidP="00DA0CA8">
      <w:pPr>
        <w:pStyle w:val="Default"/>
        <w:numPr>
          <w:ilvl w:val="2"/>
          <w:numId w:val="10"/>
        </w:numPr>
        <w:spacing w:line="360" w:lineRule="auto"/>
        <w:jc w:val="both"/>
        <w:rPr>
          <w:color w:val="auto"/>
        </w:rPr>
      </w:pPr>
      <w:r w:rsidRPr="00244A85">
        <w:rPr>
          <w:color w:val="auto"/>
        </w:rPr>
        <w:t xml:space="preserve">Apresentação de documento reconhecido e certificado, expedido por órgão competente que comprove a implantação do sistema de gestão de qualidade nos termos da NBR ISO/IEC 17025:2005, do laboratório onde serão realizadas as </w:t>
      </w:r>
      <w:r w:rsidRPr="0048449F">
        <w:rPr>
          <w:color w:val="auto"/>
        </w:rPr>
        <w:t>análises de controle, conforme Artigo 21, do Anexo XX da Portaria de Consolidação MS nº 5/2017.</w:t>
      </w:r>
    </w:p>
    <w:p w:rsidR="00244A85" w:rsidRPr="0048449F" w:rsidRDefault="003758F2" w:rsidP="00DA0CA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48449F">
        <w:rPr>
          <w:color w:val="auto"/>
        </w:rPr>
        <w:t xml:space="preserve">Declaração de que a empresa está ciente da instalação de estações de tratamento de agua </w:t>
      </w:r>
      <w:r w:rsidR="00DA0CA8" w:rsidRPr="0048449F">
        <w:rPr>
          <w:color w:val="auto"/>
        </w:rPr>
        <w:t xml:space="preserve">por </w:t>
      </w:r>
      <w:r w:rsidRPr="0048449F">
        <w:rPr>
          <w:color w:val="auto"/>
        </w:rPr>
        <w:t xml:space="preserve">meio de bombas dosadoras eletrônicas onde deverá ser aplicada os insumos na forma liquida. </w:t>
      </w:r>
      <w:bookmarkStart w:id="0" w:name="_GoBack"/>
      <w:bookmarkEnd w:id="0"/>
    </w:p>
    <w:p w:rsidR="00B351AF" w:rsidRPr="0048449F" w:rsidRDefault="00B351AF" w:rsidP="00DA0CA8">
      <w:pPr>
        <w:pStyle w:val="Default"/>
        <w:ind w:firstLine="1413"/>
        <w:jc w:val="both"/>
        <w:rPr>
          <w:color w:val="auto"/>
        </w:rPr>
      </w:pPr>
    </w:p>
    <w:p w:rsidR="001C1916" w:rsidRPr="0048449F" w:rsidRDefault="00DA0CA8" w:rsidP="00DA0CA8">
      <w:pPr>
        <w:pStyle w:val="Default"/>
        <w:jc w:val="both"/>
        <w:rPr>
          <w:b/>
          <w:bCs/>
          <w:lang w:eastAsia="pt-BR"/>
        </w:rPr>
      </w:pPr>
      <w:r w:rsidRPr="0048449F">
        <w:rPr>
          <w:b/>
          <w:bCs/>
          <w:lang w:eastAsia="pt-BR"/>
        </w:rPr>
        <w:t>4</w:t>
      </w:r>
      <w:r w:rsidR="0048449F">
        <w:rPr>
          <w:b/>
          <w:bCs/>
          <w:lang w:eastAsia="pt-BR"/>
        </w:rPr>
        <w:t>.</w:t>
      </w:r>
      <w:r w:rsidRPr="0048449F">
        <w:rPr>
          <w:b/>
          <w:bCs/>
          <w:lang w:eastAsia="pt-BR"/>
        </w:rPr>
        <w:t xml:space="preserve"> Conceitos e definições</w:t>
      </w:r>
    </w:p>
    <w:p w:rsidR="007965D6" w:rsidRPr="0048449F" w:rsidRDefault="007965D6" w:rsidP="003C5C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217"/>
        <w:jc w:val="both"/>
        <w:rPr>
          <w:rFonts w:ascii="Times New Roman" w:eastAsiaTheme="minorHAnsi" w:hAnsi="Times New Roman"/>
          <w:sz w:val="24"/>
          <w:szCs w:val="24"/>
        </w:rPr>
      </w:pPr>
      <w:r w:rsidRPr="0048449F">
        <w:rPr>
          <w:rFonts w:ascii="Times New Roman" w:eastAsiaTheme="minorHAnsi" w:hAnsi="Times New Roman"/>
          <w:sz w:val="24"/>
          <w:szCs w:val="24"/>
          <w:u w:val="single"/>
        </w:rPr>
        <w:t>Água para consumo humano:</w:t>
      </w:r>
      <w:r w:rsidRPr="0048449F">
        <w:rPr>
          <w:rFonts w:ascii="Times New Roman" w:eastAsiaTheme="minorHAnsi" w:hAnsi="Times New Roman"/>
          <w:sz w:val="24"/>
          <w:szCs w:val="24"/>
        </w:rPr>
        <w:t xml:space="preserve"> água potável destinada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à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ingestão,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preparação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produção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alimentos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à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higiene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pessoal,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independentemente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sua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origem.</w:t>
      </w:r>
    </w:p>
    <w:p w:rsidR="009B0BA0" w:rsidRPr="0048449F" w:rsidRDefault="009B0BA0" w:rsidP="003C5C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217"/>
        <w:jc w:val="both"/>
        <w:rPr>
          <w:rFonts w:ascii="Times New Roman" w:eastAsiaTheme="minorHAnsi" w:hAnsi="Times New Roman"/>
          <w:sz w:val="24"/>
          <w:szCs w:val="24"/>
        </w:rPr>
      </w:pPr>
      <w:r w:rsidRPr="0048449F">
        <w:rPr>
          <w:rFonts w:ascii="Times New Roman" w:eastAsiaTheme="minorHAnsi" w:hAnsi="Times New Roman"/>
          <w:sz w:val="24"/>
          <w:szCs w:val="24"/>
          <w:u w:val="single"/>
        </w:rPr>
        <w:t>Água potável</w:t>
      </w:r>
      <w:r w:rsidRPr="0048449F">
        <w:rPr>
          <w:rFonts w:ascii="Times New Roman" w:eastAsiaTheme="minorHAnsi" w:hAnsi="Times New Roman"/>
          <w:sz w:val="24"/>
          <w:szCs w:val="24"/>
        </w:rPr>
        <w:t>: Água que atenda ao padrão de potabilidade estabelecido na Portaria nº 2914/2011 do ministério da saúde e que não ofereça riscos à saúde.</w:t>
      </w:r>
    </w:p>
    <w:p w:rsidR="003C5C8B" w:rsidRPr="0048449F" w:rsidRDefault="007965D6" w:rsidP="003C5C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217"/>
        <w:jc w:val="both"/>
        <w:rPr>
          <w:rFonts w:ascii="Times New Roman" w:eastAsiaTheme="minorHAnsi" w:hAnsi="Times New Roman"/>
          <w:sz w:val="24"/>
          <w:szCs w:val="24"/>
        </w:rPr>
      </w:pPr>
      <w:r w:rsidRPr="0048449F">
        <w:rPr>
          <w:rFonts w:ascii="Times New Roman" w:eastAsiaTheme="minorHAnsi" w:hAnsi="Times New Roman"/>
          <w:sz w:val="24"/>
          <w:szCs w:val="24"/>
          <w:u w:val="single"/>
        </w:rPr>
        <w:t>Água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tratada</w:t>
      </w:r>
      <w:r w:rsidRPr="0048449F">
        <w:rPr>
          <w:rFonts w:ascii="Times New Roman" w:eastAsiaTheme="minorHAnsi" w:hAnsi="Times New Roman"/>
          <w:sz w:val="24"/>
          <w:szCs w:val="24"/>
        </w:rPr>
        <w:t>: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água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submetida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processos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físicos,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químicos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ou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combinação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destes,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visando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atender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padrão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potabilidade.</w:t>
      </w:r>
    </w:p>
    <w:p w:rsidR="003C5C8B" w:rsidRPr="0048449F" w:rsidRDefault="007965D6" w:rsidP="003C5C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217"/>
        <w:jc w:val="both"/>
        <w:rPr>
          <w:rFonts w:ascii="Times New Roman" w:eastAsiaTheme="minorHAnsi" w:hAnsi="Times New Roman"/>
          <w:sz w:val="24"/>
          <w:szCs w:val="24"/>
        </w:rPr>
      </w:pPr>
      <w:r w:rsidRPr="0048449F">
        <w:rPr>
          <w:rFonts w:ascii="Times New Roman" w:eastAsiaTheme="minorHAnsi" w:hAnsi="Times New Roman"/>
          <w:sz w:val="24"/>
          <w:szCs w:val="24"/>
          <w:u w:val="single"/>
        </w:rPr>
        <w:t>Sistema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abastecimento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água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para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consumo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  <w:u w:val="single"/>
        </w:rPr>
        <w:t>humano</w:t>
      </w:r>
      <w:r w:rsidRPr="0048449F">
        <w:rPr>
          <w:rFonts w:ascii="Times New Roman" w:eastAsiaTheme="minorHAnsi" w:hAnsi="Times New Roman"/>
          <w:sz w:val="24"/>
          <w:szCs w:val="24"/>
        </w:rPr>
        <w:t>: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instalação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composta </w:t>
      </w:r>
      <w:r w:rsidRPr="0048449F">
        <w:rPr>
          <w:rFonts w:ascii="Times New Roman" w:eastAsiaTheme="minorHAnsi" w:hAnsi="Times New Roman"/>
          <w:sz w:val="24"/>
          <w:szCs w:val="24"/>
        </w:rPr>
        <w:t>por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um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conjunto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obras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civis,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materiais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equipamentos,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desde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zona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captação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até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ligações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prediais,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destinada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à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produção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ao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fornecimento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coletivo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água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potável,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por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meio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rede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49F">
        <w:rPr>
          <w:rFonts w:ascii="Times New Roman" w:eastAsiaTheme="minorHAnsi" w:hAnsi="Times New Roman"/>
          <w:sz w:val="24"/>
          <w:szCs w:val="24"/>
        </w:rPr>
        <w:t>distribuição.</w:t>
      </w:r>
    </w:p>
    <w:p w:rsidR="00C519D5" w:rsidRDefault="003C5C8B" w:rsidP="00C519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217"/>
        <w:jc w:val="both"/>
        <w:rPr>
          <w:rFonts w:ascii="Times New Roman" w:eastAsiaTheme="minorHAnsi" w:hAnsi="Times New Roman"/>
          <w:sz w:val="24"/>
          <w:szCs w:val="24"/>
        </w:rPr>
      </w:pPr>
      <w:r w:rsidRPr="0048449F">
        <w:rPr>
          <w:rFonts w:ascii="Times New Roman" w:eastAsiaTheme="minorHAnsi" w:hAnsi="Times New Roman"/>
          <w:sz w:val="24"/>
          <w:szCs w:val="24"/>
          <w:u w:val="single"/>
        </w:rPr>
        <w:t>C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ontrole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da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qualidade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da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água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para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consumo</w:t>
      </w:r>
      <w:r w:rsidR="009B0BA0" w:rsidRPr="004844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  <w:u w:val="single"/>
        </w:rPr>
        <w:t>humano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: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conjunto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atividades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exercidas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regularmente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pelo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responsável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pelo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sistema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abastecimento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água,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destinado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verificar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se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água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fornecida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à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população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é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potável,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de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forma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assegurar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manutenção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desta</w:t>
      </w:r>
      <w:r w:rsidR="009B0BA0" w:rsidRPr="0048449F">
        <w:rPr>
          <w:rFonts w:ascii="Times New Roman" w:eastAsiaTheme="minorHAnsi" w:hAnsi="Times New Roman"/>
          <w:sz w:val="24"/>
          <w:szCs w:val="24"/>
        </w:rPr>
        <w:t xml:space="preserve"> </w:t>
      </w:r>
      <w:r w:rsidR="007965D6" w:rsidRPr="0048449F">
        <w:rPr>
          <w:rFonts w:ascii="Times New Roman" w:eastAsiaTheme="minorHAnsi" w:hAnsi="Times New Roman"/>
          <w:sz w:val="24"/>
          <w:szCs w:val="24"/>
        </w:rPr>
        <w:t>condição.</w:t>
      </w:r>
    </w:p>
    <w:p w:rsidR="00095FF9" w:rsidRPr="00C519D5" w:rsidRDefault="00C519D5" w:rsidP="00C519D5">
      <w:pPr>
        <w:autoSpaceDE w:val="0"/>
        <w:autoSpaceDN w:val="0"/>
        <w:adjustRightInd w:val="0"/>
        <w:spacing w:before="0" w:after="217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</w:t>
      </w:r>
      <w:r w:rsidR="00095FF9" w:rsidRPr="00C519D5">
        <w:rPr>
          <w:rFonts w:ascii="Times New Roman" w:eastAsiaTheme="minorHAnsi" w:hAnsi="Times New Roman"/>
          <w:b/>
          <w:sz w:val="24"/>
          <w:szCs w:val="24"/>
        </w:rPr>
        <w:t>Percurso.</w:t>
      </w:r>
    </w:p>
    <w:p w:rsidR="00095FF9" w:rsidRPr="00A11F4F" w:rsidRDefault="00095FF9" w:rsidP="00D4134F">
      <w:pPr>
        <w:autoSpaceDE w:val="0"/>
        <w:autoSpaceDN w:val="0"/>
        <w:adjustRightInd w:val="0"/>
        <w:spacing w:before="0" w:after="217"/>
        <w:ind w:left="0" w:firstLine="34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 itinerário fica por conta do responsável pela realização do serviço, sendo que para completar uma visita em cada sistema apresentado na tabela 01, em uma rotina única diária percorre-se aproximadamente 270 km</w:t>
      </w:r>
      <w:r w:rsidRPr="00A11F4F">
        <w:rPr>
          <w:rFonts w:ascii="Times New Roman" w:eastAsiaTheme="minorHAnsi" w:hAnsi="Times New Roman"/>
          <w:sz w:val="24"/>
          <w:szCs w:val="24"/>
        </w:rPr>
        <w:t>. Cabe salientar que este percurso pode sofrer alteração</w:t>
      </w:r>
      <w:r w:rsidR="00C57AC3" w:rsidRPr="00A11F4F">
        <w:rPr>
          <w:rFonts w:ascii="Times New Roman" w:eastAsiaTheme="minorHAnsi" w:hAnsi="Times New Roman"/>
          <w:sz w:val="24"/>
          <w:szCs w:val="24"/>
        </w:rPr>
        <w:t xml:space="preserve"> conforme demanda do município</w:t>
      </w:r>
      <w:r w:rsidRPr="00A11F4F">
        <w:rPr>
          <w:rFonts w:ascii="Times New Roman" w:eastAsiaTheme="minorHAnsi" w:hAnsi="Times New Roman"/>
          <w:sz w:val="24"/>
          <w:szCs w:val="24"/>
        </w:rPr>
        <w:t>.</w:t>
      </w:r>
      <w:r w:rsidR="00AD6C76" w:rsidRPr="00A11F4F">
        <w:rPr>
          <w:rFonts w:ascii="Times New Roman" w:eastAsiaTheme="minorHAnsi" w:hAnsi="Times New Roman"/>
          <w:sz w:val="24"/>
          <w:szCs w:val="24"/>
        </w:rPr>
        <w:t xml:space="preserve"> Por</w:t>
      </w:r>
      <w:r w:rsidR="00A11F4F" w:rsidRPr="00A11F4F">
        <w:rPr>
          <w:rFonts w:ascii="Times New Roman" w:eastAsiaTheme="minorHAnsi" w:hAnsi="Times New Roman"/>
          <w:sz w:val="24"/>
          <w:szCs w:val="24"/>
        </w:rPr>
        <w:t>tanto, devem ser realizadas visitas semanais</w:t>
      </w:r>
      <w:r w:rsidR="00C57AC3" w:rsidRPr="00A11F4F">
        <w:rPr>
          <w:rFonts w:ascii="Times New Roman" w:eastAsiaTheme="minorHAnsi" w:hAnsi="Times New Roman"/>
          <w:sz w:val="24"/>
          <w:szCs w:val="24"/>
        </w:rPr>
        <w:t xml:space="preserve"> </w:t>
      </w:r>
      <w:r w:rsidR="00AD6C76" w:rsidRPr="00A11F4F">
        <w:rPr>
          <w:rFonts w:ascii="Times New Roman" w:eastAsiaTheme="minorHAnsi" w:hAnsi="Times New Roman"/>
          <w:sz w:val="24"/>
          <w:szCs w:val="24"/>
        </w:rPr>
        <w:t>pe</w:t>
      </w:r>
      <w:r w:rsidR="00C57AC3" w:rsidRPr="00A11F4F">
        <w:rPr>
          <w:rFonts w:ascii="Times New Roman" w:eastAsiaTheme="minorHAnsi" w:hAnsi="Times New Roman"/>
          <w:sz w:val="24"/>
          <w:szCs w:val="24"/>
        </w:rPr>
        <w:t>lo técnico responsável em cad</w:t>
      </w:r>
      <w:r w:rsidR="00AD6C76" w:rsidRPr="00A11F4F">
        <w:rPr>
          <w:rFonts w:ascii="Times New Roman" w:eastAsiaTheme="minorHAnsi" w:hAnsi="Times New Roman"/>
          <w:sz w:val="24"/>
          <w:szCs w:val="24"/>
        </w:rPr>
        <w:t xml:space="preserve">a sistema de tratamento, podendo serem as mesmas visitas para realizar a coleta da água para as análises solicitadas. </w:t>
      </w:r>
    </w:p>
    <w:p w:rsidR="004B449D" w:rsidRPr="004B449D" w:rsidRDefault="0048449F" w:rsidP="0048449F">
      <w:pPr>
        <w:pStyle w:val="Default"/>
        <w:tabs>
          <w:tab w:val="left" w:pos="0"/>
        </w:tabs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6. </w:t>
      </w:r>
      <w:r w:rsidR="004B449D" w:rsidRPr="004B449D">
        <w:rPr>
          <w:b/>
          <w:bCs/>
          <w:color w:val="auto"/>
        </w:rPr>
        <w:t xml:space="preserve">Termo de </w:t>
      </w:r>
      <w:r w:rsidR="00095FF9" w:rsidRPr="004B449D">
        <w:rPr>
          <w:b/>
          <w:bCs/>
          <w:color w:val="auto"/>
        </w:rPr>
        <w:t>referência</w:t>
      </w:r>
      <w:r w:rsidR="004B449D" w:rsidRPr="004B449D">
        <w:rPr>
          <w:b/>
          <w:bCs/>
          <w:color w:val="auto"/>
        </w:rPr>
        <w:t xml:space="preserve"> elaborado conforme os seguintes documentos:</w:t>
      </w:r>
    </w:p>
    <w:p w:rsidR="004B449D" w:rsidRPr="004B449D" w:rsidRDefault="004B449D" w:rsidP="004B449D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>-Portaria de Consolidação n° 05 –Anexo XX de 03 de outubro de 2017, Ministério da Saúde;</w:t>
      </w:r>
    </w:p>
    <w:p w:rsidR="004B449D" w:rsidRPr="004B449D" w:rsidRDefault="004B449D" w:rsidP="004B449D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>-Resolução CONAMA n° 396 de abril de 2008;</w:t>
      </w:r>
    </w:p>
    <w:p w:rsidR="004B449D" w:rsidRPr="004B449D" w:rsidRDefault="004B449D" w:rsidP="004B449D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>-Portaria nº 10 de 06 de agosto de 1999, Secretaria da Saúde do Estado do Rio Grande do Sul;</w:t>
      </w:r>
    </w:p>
    <w:p w:rsidR="004B449D" w:rsidRPr="004B449D" w:rsidRDefault="004B449D" w:rsidP="004B449D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>-Portaria n° 846 de 27 de outubro de 2015, Secretaria da Saúde do Estado do Rio Grande do Sul;</w:t>
      </w:r>
    </w:p>
    <w:p w:rsidR="004B449D" w:rsidRPr="004B449D" w:rsidRDefault="004B449D" w:rsidP="004B449D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>-Portaria n° 1237 de 28 de novembro de 2014, Secretaria da Saúde do Estado do Rio Grande do Sul;</w:t>
      </w:r>
    </w:p>
    <w:p w:rsidR="004B449D" w:rsidRPr="004B449D" w:rsidRDefault="004B449D" w:rsidP="004B449D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>-Emissão do Relatório Técnico conforme padrão do SISAGUA;</w:t>
      </w:r>
    </w:p>
    <w:p w:rsidR="004B449D" w:rsidRPr="004B449D" w:rsidRDefault="004B449D" w:rsidP="00CF0BA3">
      <w:pPr>
        <w:pStyle w:val="Default"/>
        <w:spacing w:line="360" w:lineRule="auto"/>
        <w:jc w:val="both"/>
        <w:rPr>
          <w:color w:val="auto"/>
        </w:rPr>
      </w:pPr>
      <w:r w:rsidRPr="004B449D">
        <w:rPr>
          <w:color w:val="auto"/>
        </w:rPr>
        <w:t xml:space="preserve">-Nota Técnica 02/2018 –VIGIAGUA </w:t>
      </w:r>
    </w:p>
    <w:p w:rsidR="009E3593" w:rsidRDefault="0005171D" w:rsidP="00807344">
      <w:pPr>
        <w:pStyle w:val="Default"/>
      </w:pPr>
      <w:r>
        <w:t>-</w:t>
      </w:r>
      <w:r w:rsidR="009E3593">
        <w:t>Portaria MS no 518/2004, superando uma importante limitação da Portaria no 36/1990,</w:t>
      </w:r>
    </w:p>
    <w:p w:rsidR="009E3593" w:rsidRDefault="009E3593" w:rsidP="0005171D">
      <w:pPr>
        <w:pStyle w:val="Default"/>
        <w:jc w:val="both"/>
      </w:pPr>
    </w:p>
    <w:p w:rsidR="0005171D" w:rsidRDefault="0005171D" w:rsidP="0005171D">
      <w:pPr>
        <w:pStyle w:val="Default"/>
        <w:spacing w:line="360" w:lineRule="auto"/>
        <w:jc w:val="both"/>
      </w:pPr>
      <w:r>
        <w:t>-</w:t>
      </w:r>
      <w:r w:rsidR="009E3593">
        <w:t xml:space="preserve">BRASIL. Portaria no 36, de 19 de janeiro de 1990, do Ministério da Saúde. Normas e padrões de potabilidade de água destinada ao consumo humano. Brasília-DF, 1990. </w:t>
      </w:r>
    </w:p>
    <w:p w:rsidR="009E3593" w:rsidRDefault="0005171D" w:rsidP="0005171D">
      <w:pPr>
        <w:pStyle w:val="Default"/>
        <w:spacing w:line="360" w:lineRule="auto"/>
        <w:jc w:val="both"/>
      </w:pPr>
      <w:r>
        <w:t>-</w:t>
      </w:r>
      <w:r w:rsidR="009E3593">
        <w:t>BRASIL. Resolução Conama no 20, de 18 de junho de 1986. Estabelece a classificação das águas doces, salobras e salinas. Diário Oficial da República Federativa do Brasil, Brasília-DF, p. 11-356, 1986.</w:t>
      </w:r>
    </w:p>
    <w:p w:rsidR="009E3593" w:rsidRDefault="0005171D" w:rsidP="0005171D">
      <w:pPr>
        <w:pStyle w:val="Default"/>
        <w:spacing w:line="360" w:lineRule="auto"/>
        <w:jc w:val="both"/>
      </w:pPr>
      <w:r>
        <w:t>-</w:t>
      </w:r>
      <w:r w:rsidR="009E3593" w:rsidRPr="000D36D4">
        <w:t>Portaria n° 10/99 do Estado do RS – Define teores de concentração do íon fluoreto nas águas para consumo humano fornecidas por Sistemas Públicos de Abastecimento</w:t>
      </w:r>
    </w:p>
    <w:p w:rsidR="0005171D" w:rsidRPr="0048449F" w:rsidRDefault="0005171D" w:rsidP="0005171D">
      <w:pPr>
        <w:pStyle w:val="Default"/>
        <w:spacing w:line="360" w:lineRule="auto"/>
        <w:jc w:val="both"/>
      </w:pPr>
      <w:r w:rsidRPr="0048449F">
        <w:t>- Anexo XX da Portaria da Consolidação nº 5 de 28 de setembro de 2017.</w:t>
      </w:r>
    </w:p>
    <w:p w:rsidR="0048449F" w:rsidRPr="0048449F" w:rsidRDefault="0048449F" w:rsidP="00F21EC4">
      <w:pPr>
        <w:shd w:val="clear" w:color="auto" w:fill="FFFFFF"/>
        <w:spacing w:before="0" w:after="390" w:line="390" w:lineRule="atLeast"/>
        <w:ind w:left="0" w:firstLine="0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48449F" w:rsidRDefault="0048449F" w:rsidP="00714E14">
      <w:pPr>
        <w:shd w:val="clear" w:color="auto" w:fill="FFFFFF"/>
        <w:spacing w:before="0" w:line="390" w:lineRule="atLeast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48449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7.</w:t>
      </w:r>
      <w:r w:rsidR="00714E14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</w:t>
      </w:r>
      <w:r w:rsidRPr="0048449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Recomendação</w:t>
      </w:r>
    </w:p>
    <w:p w:rsidR="0028069D" w:rsidRDefault="0048449F" w:rsidP="00714E14">
      <w:pPr>
        <w:shd w:val="clear" w:color="auto" w:fill="FFFFFF"/>
        <w:tabs>
          <w:tab w:val="left" w:pos="0"/>
        </w:tabs>
        <w:spacing w:before="0" w:line="390" w:lineRule="atLeast"/>
        <w:ind w:left="0" w:firstLine="0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ab/>
      </w:r>
      <w:r w:rsidR="001B182A" w:rsidRPr="0048449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Recomendo a realização de processo licitatório pela modalidade Tomada de Preços, em virtude que a licitação exige planilha de custos, n</w:t>
      </w:r>
      <w:r w:rsidR="008B5DA1" w:rsidRPr="0048449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ão tendo aspecto legal a realização do Pregão Presencial por conta de alterações posteriores na planilha de custos e 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por </w:t>
      </w:r>
      <w:r w:rsidR="008B5DA1" w:rsidRPr="0048449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se tratar de um serviço com mão de obra especializada.</w:t>
      </w:r>
    </w:p>
    <w:p w:rsidR="0028069D" w:rsidRPr="00C519D5" w:rsidRDefault="0028069D" w:rsidP="0028069D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519D5">
        <w:rPr>
          <w:rFonts w:ascii="Times New Roman" w:hAnsi="Times New Roman"/>
          <w:b/>
          <w:sz w:val="24"/>
          <w:szCs w:val="24"/>
        </w:rPr>
        <w:t>Previsão orçamentaria</w:t>
      </w:r>
    </w:p>
    <w:p w:rsidR="0028069D" w:rsidRPr="0028069D" w:rsidRDefault="0028069D" w:rsidP="0028069D">
      <w:pPr>
        <w:pStyle w:val="PargrafodaLista"/>
        <w:tabs>
          <w:tab w:val="left" w:pos="567"/>
        </w:tabs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8069D">
        <w:rPr>
          <w:rFonts w:ascii="Times New Roman" w:hAnsi="Times New Roman"/>
          <w:sz w:val="24"/>
          <w:szCs w:val="24"/>
        </w:rPr>
        <w:t xml:space="preserve">Abaixo segue a previsão orçamentária conforme valores normais de mercado para as quantidades descritas no corpo do projeto. A projeção orçamentária total fica prevista na última tabela, nominada de “Orçamento para Tratamento </w:t>
      </w:r>
      <w:r>
        <w:rPr>
          <w:rFonts w:ascii="Times New Roman" w:hAnsi="Times New Roman"/>
          <w:sz w:val="24"/>
          <w:szCs w:val="24"/>
        </w:rPr>
        <w:t>d</w:t>
      </w:r>
      <w:r w:rsidR="00A608BF">
        <w:rPr>
          <w:rFonts w:ascii="Times New Roman" w:hAnsi="Times New Roman"/>
          <w:sz w:val="24"/>
          <w:szCs w:val="24"/>
        </w:rPr>
        <w:t>e Água no Município de Jó</w:t>
      </w:r>
      <w:r w:rsidRPr="0028069D">
        <w:rPr>
          <w:rFonts w:ascii="Times New Roman" w:hAnsi="Times New Roman"/>
          <w:sz w:val="24"/>
          <w:szCs w:val="24"/>
        </w:rPr>
        <w:t>ia-RS”.</w:t>
      </w: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CD0DAE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4E14" w:rsidRDefault="00714E14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0DAE" w:rsidRDefault="00A608BF" w:rsidP="00A608BF">
      <w:pPr>
        <w:tabs>
          <w:tab w:val="left" w:pos="1200"/>
        </w:tabs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0DAE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B093F3D" wp14:editId="5CCC06FD">
            <wp:simplePos x="0" y="0"/>
            <wp:positionH relativeFrom="column">
              <wp:posOffset>9525</wp:posOffset>
            </wp:positionH>
            <wp:positionV relativeFrom="paragraph">
              <wp:posOffset>247650</wp:posOffset>
            </wp:positionV>
            <wp:extent cx="4819650" cy="865646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19" cy="865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DAE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CD0DAE">
        <w:rPr>
          <w:rFonts w:ascii="Times New Roman" w:eastAsia="Times New Roman" w:hAnsi="Times New Roman"/>
          <w:sz w:val="24"/>
          <w:szCs w:val="24"/>
          <w:lang w:eastAsia="pt-BR"/>
        </w:rPr>
        <w:t>bela 01: Custos Operacionais</w:t>
      </w:r>
    </w:p>
    <w:p w:rsidR="0028069D" w:rsidRDefault="0028069D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8069D" w:rsidRDefault="0028069D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08BF" w:rsidRDefault="00A608BF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08BF" w:rsidRDefault="00A608BF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08BF" w:rsidRDefault="00A608BF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Tabela 02: Base orçament</w:t>
      </w:r>
      <w:r w:rsidR="00A608BF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ria</w:t>
      </w:r>
    </w:p>
    <w:p w:rsidR="0028069D" w:rsidRDefault="00A608BF" w:rsidP="0028069D">
      <w:pPr>
        <w:tabs>
          <w:tab w:val="left" w:pos="7455"/>
        </w:tabs>
        <w:rPr>
          <w:rFonts w:ascii="Times New Roman" w:eastAsia="Times New Roman" w:hAnsi="Times New Roman"/>
          <w:sz w:val="24"/>
          <w:szCs w:val="24"/>
          <w:lang w:eastAsia="pt-BR"/>
        </w:rPr>
      </w:pPr>
      <w:r w:rsidRPr="00A608BF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34AB009" wp14:editId="034FFF99">
            <wp:simplePos x="0" y="0"/>
            <wp:positionH relativeFrom="column">
              <wp:posOffset>9525</wp:posOffset>
            </wp:positionH>
            <wp:positionV relativeFrom="paragraph">
              <wp:posOffset>53340</wp:posOffset>
            </wp:positionV>
            <wp:extent cx="4848225" cy="34956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08BF" w:rsidRDefault="00A608BF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Tabela 03: Benefícios de despesas indiretas - BDI</w:t>
      </w:r>
    </w:p>
    <w:p w:rsidR="0028069D" w:rsidRDefault="00A608BF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A608BF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905B9EB" wp14:editId="0BBA2F83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3838575" cy="23145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P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201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201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201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69D" w:rsidRDefault="0028069D" w:rsidP="0028069D">
      <w:pPr>
        <w:tabs>
          <w:tab w:val="left" w:pos="2010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08BF" w:rsidRDefault="008E5B4B" w:rsidP="0028069D">
      <w:pPr>
        <w:tabs>
          <w:tab w:val="left" w:pos="2010"/>
        </w:tabs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Tabela 04: Orçamento final</w:t>
      </w:r>
    </w:p>
    <w:p w:rsidR="00F16E6E" w:rsidRDefault="003E0AB3" w:rsidP="00A608BF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A608BF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ECB12B2" wp14:editId="5F99258E">
            <wp:simplePos x="0" y="0"/>
            <wp:positionH relativeFrom="column">
              <wp:posOffset>-13335</wp:posOffset>
            </wp:positionH>
            <wp:positionV relativeFrom="paragraph">
              <wp:posOffset>17145</wp:posOffset>
            </wp:positionV>
            <wp:extent cx="4327892" cy="52197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92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Default="00F16E6E" w:rsidP="00F16E6E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6E6E" w:rsidRPr="00F16E6E" w:rsidRDefault="00F16E6E" w:rsidP="00F16E6E">
      <w:pPr>
        <w:pStyle w:val="Pargrafoda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F16E6E">
        <w:rPr>
          <w:rFonts w:ascii="Times New Roman" w:hAnsi="Times New Roman"/>
          <w:b/>
          <w:sz w:val="24"/>
          <w:szCs w:val="24"/>
        </w:rPr>
        <w:t>Conclusão</w:t>
      </w:r>
    </w:p>
    <w:p w:rsidR="0028069D" w:rsidRDefault="00F16E6E" w:rsidP="002D2161">
      <w:pPr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F16E6E">
        <w:rPr>
          <w:rFonts w:ascii="Times New Roman" w:hAnsi="Times New Roman"/>
          <w:sz w:val="24"/>
          <w:szCs w:val="24"/>
        </w:rPr>
        <w:t xml:space="preserve"> </w:t>
      </w:r>
      <w:r w:rsidR="00BB5A63" w:rsidRPr="00F16E6E">
        <w:rPr>
          <w:rFonts w:ascii="Times New Roman" w:hAnsi="Times New Roman"/>
          <w:sz w:val="24"/>
          <w:szCs w:val="24"/>
        </w:rPr>
        <w:t>Diante</w:t>
      </w:r>
      <w:r w:rsidRPr="00F16E6E">
        <w:rPr>
          <w:rFonts w:ascii="Times New Roman" w:hAnsi="Times New Roman"/>
          <w:sz w:val="24"/>
          <w:szCs w:val="24"/>
        </w:rPr>
        <w:t xml:space="preserve"> ao disposto no presente </w:t>
      </w:r>
      <w:r w:rsidR="00BB5A63">
        <w:rPr>
          <w:rFonts w:ascii="Times New Roman" w:hAnsi="Times New Roman"/>
          <w:sz w:val="24"/>
          <w:szCs w:val="24"/>
        </w:rPr>
        <w:t>documento, informações necessárias para implantar o tratamento e monitoramento da qualidade da água distribuída no Município de Jóia</w:t>
      </w:r>
      <w:r w:rsidRPr="00F16E6E">
        <w:rPr>
          <w:rFonts w:ascii="Times New Roman" w:hAnsi="Times New Roman"/>
          <w:sz w:val="24"/>
          <w:szCs w:val="24"/>
        </w:rPr>
        <w:t>, desenvolvido para servir de projeto básico para realização de contratação de empresa para prest</w:t>
      </w:r>
      <w:r w:rsidR="00BB5A63">
        <w:rPr>
          <w:rFonts w:ascii="Times New Roman" w:hAnsi="Times New Roman"/>
          <w:sz w:val="24"/>
          <w:szCs w:val="24"/>
        </w:rPr>
        <w:t>ação de serviços especializados</w:t>
      </w:r>
      <w:r w:rsidRPr="00F16E6E">
        <w:rPr>
          <w:rFonts w:ascii="Times New Roman" w:hAnsi="Times New Roman"/>
          <w:sz w:val="24"/>
          <w:szCs w:val="24"/>
        </w:rPr>
        <w:t>, em respeito e atendimento total aos preceitos da atual legi</w:t>
      </w:r>
      <w:r w:rsidR="00BB5A63">
        <w:rPr>
          <w:rFonts w:ascii="Times New Roman" w:hAnsi="Times New Roman"/>
          <w:sz w:val="24"/>
          <w:szCs w:val="24"/>
        </w:rPr>
        <w:t>slação, propõe-se assim o o</w:t>
      </w:r>
      <w:r w:rsidRPr="00F16E6E">
        <w:rPr>
          <w:rFonts w:ascii="Times New Roman" w:hAnsi="Times New Roman"/>
          <w:sz w:val="24"/>
          <w:szCs w:val="24"/>
        </w:rPr>
        <w:t>bjeto a ser licitado, bem como as exigências de qualificação técnica mínimas para as licitantes</w:t>
      </w:r>
      <w:r w:rsidR="00BB5A63">
        <w:rPr>
          <w:rFonts w:ascii="Times New Roman" w:hAnsi="Times New Roman"/>
          <w:sz w:val="24"/>
          <w:szCs w:val="24"/>
        </w:rPr>
        <w:t xml:space="preserve"> e planilha orçamentaria com os custos para tal serviço</w:t>
      </w:r>
      <w:r w:rsidRPr="00F16E6E">
        <w:rPr>
          <w:rFonts w:ascii="Times New Roman" w:hAnsi="Times New Roman"/>
          <w:sz w:val="24"/>
          <w:szCs w:val="24"/>
        </w:rPr>
        <w:t>.</w:t>
      </w:r>
    </w:p>
    <w:p w:rsidR="003E0AB3" w:rsidRDefault="003E0AB3" w:rsidP="003E0AB3">
      <w:pPr>
        <w:pStyle w:val="SemEspaamento"/>
      </w:pPr>
    </w:p>
    <w:p w:rsidR="003E0AB3" w:rsidRDefault="003E0AB3" w:rsidP="003E0AB3">
      <w:pPr>
        <w:pStyle w:val="SemEspaamento"/>
      </w:pPr>
    </w:p>
    <w:p w:rsidR="00B673C6" w:rsidRDefault="00B673C6" w:rsidP="003E0AB3">
      <w:pPr>
        <w:pStyle w:val="SemEspaamento"/>
        <w:rPr>
          <w:rFonts w:ascii="Times New Roman" w:hAnsi="Times New Roman"/>
          <w:sz w:val="24"/>
          <w:szCs w:val="24"/>
        </w:rPr>
      </w:pPr>
    </w:p>
    <w:p w:rsidR="00B673C6" w:rsidRPr="00B673C6" w:rsidRDefault="00B673C6" w:rsidP="00B673C6">
      <w:pPr>
        <w:pStyle w:val="SemEspaamento"/>
        <w:rPr>
          <w:rFonts w:ascii="Times New Roman" w:hAnsi="Times New Roman"/>
          <w:sz w:val="24"/>
          <w:szCs w:val="24"/>
        </w:rPr>
      </w:pPr>
      <w:r w:rsidRPr="00B673C6">
        <w:rPr>
          <w:rFonts w:ascii="Times New Roman" w:hAnsi="Times New Roman"/>
          <w:sz w:val="24"/>
          <w:szCs w:val="24"/>
        </w:rPr>
        <w:t>Rúbia Adriana Zwick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B673C6">
        <w:rPr>
          <w:rFonts w:ascii="Times New Roman" w:hAnsi="Times New Roman"/>
          <w:sz w:val="24"/>
          <w:szCs w:val="24"/>
        </w:rPr>
        <w:t>Jóia/RS 28 de Julho de 2020</w:t>
      </w:r>
    </w:p>
    <w:p w:rsidR="00B673C6" w:rsidRPr="00B673C6" w:rsidRDefault="00B673C6" w:rsidP="004A0263">
      <w:pPr>
        <w:pStyle w:val="SemEspaamento"/>
        <w:rPr>
          <w:rFonts w:ascii="Times New Roman" w:hAnsi="Times New Roman"/>
          <w:sz w:val="24"/>
          <w:szCs w:val="24"/>
        </w:rPr>
      </w:pPr>
      <w:r w:rsidRPr="00B673C6">
        <w:rPr>
          <w:rFonts w:ascii="Times New Roman" w:hAnsi="Times New Roman"/>
          <w:sz w:val="24"/>
          <w:szCs w:val="24"/>
        </w:rPr>
        <w:t>CRBio 63.198-03D</w:t>
      </w:r>
    </w:p>
    <w:sectPr w:rsidR="00B673C6" w:rsidRPr="00B673C6" w:rsidSect="0005171D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7F" w:rsidRDefault="009A597F" w:rsidP="001C1916">
      <w:pPr>
        <w:spacing w:before="0" w:line="240" w:lineRule="auto"/>
      </w:pPr>
      <w:r>
        <w:separator/>
      </w:r>
    </w:p>
  </w:endnote>
  <w:endnote w:type="continuationSeparator" w:id="0">
    <w:p w:rsidR="009A597F" w:rsidRDefault="009A597F" w:rsidP="001C19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745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5171D" w:rsidRDefault="0005171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12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12D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171D" w:rsidRDefault="000517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7F" w:rsidRDefault="009A597F" w:rsidP="001C1916">
      <w:pPr>
        <w:spacing w:before="0" w:line="240" w:lineRule="auto"/>
      </w:pPr>
      <w:r>
        <w:separator/>
      </w:r>
    </w:p>
  </w:footnote>
  <w:footnote w:type="continuationSeparator" w:id="0">
    <w:p w:rsidR="009A597F" w:rsidRDefault="009A597F" w:rsidP="001C19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8D" w:rsidRDefault="00C519D5" w:rsidP="001C1916">
    <w:pPr>
      <w:pStyle w:val="Cabealho"/>
      <w:tabs>
        <w:tab w:val="clear" w:pos="4252"/>
        <w:tab w:val="clear" w:pos="8504"/>
        <w:tab w:val="left" w:pos="574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D1C806E" wp14:editId="3977CBC3">
          <wp:simplePos x="0" y="0"/>
          <wp:positionH relativeFrom="column">
            <wp:posOffset>2559050</wp:posOffset>
          </wp:positionH>
          <wp:positionV relativeFrom="paragraph">
            <wp:posOffset>-320040</wp:posOffset>
          </wp:positionV>
          <wp:extent cx="495300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8B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FA0D1" wp14:editId="3C69422D">
              <wp:simplePos x="0" y="0"/>
              <wp:positionH relativeFrom="column">
                <wp:posOffset>1562100</wp:posOffset>
              </wp:positionH>
              <wp:positionV relativeFrom="paragraph">
                <wp:posOffset>217169</wp:posOffset>
              </wp:positionV>
              <wp:extent cx="2196465" cy="561975"/>
              <wp:effectExtent l="0" t="0" r="127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D8D" w:rsidRPr="00A608BF" w:rsidRDefault="00546D8D" w:rsidP="001C1916">
                          <w:pPr>
                            <w:spacing w:before="0" w:after="12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608BF">
                            <w:rPr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:rsidR="00546D8D" w:rsidRPr="00A608BF" w:rsidRDefault="00C519D5" w:rsidP="00C519D5">
                          <w:pPr>
                            <w:spacing w:before="0" w:after="12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 w:rsidR="00546D8D" w:rsidRPr="00A608BF">
                            <w:rPr>
                              <w:b/>
                              <w:sz w:val="16"/>
                              <w:szCs w:val="16"/>
                            </w:rPr>
                            <w:t>MUNICÍPIO DE JÓIA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FA0D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23pt;margin-top:17.1pt;width:172.95pt;height:44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" stroked="f">
              <v:textbox>
                <w:txbxContent>
                  <w:p w:rsidR="00546D8D" w:rsidRPr="00A608BF" w:rsidRDefault="00546D8D" w:rsidP="001C1916">
                    <w:pPr>
                      <w:spacing w:before="0" w:after="12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A608BF">
                      <w:rPr>
                        <w:sz w:val="16"/>
                        <w:szCs w:val="16"/>
                      </w:rPr>
                      <w:t>ESTADO DO RIO GRANDE DO SUL</w:t>
                    </w:r>
                  </w:p>
                  <w:p w:rsidR="00546D8D" w:rsidRPr="00A608BF" w:rsidRDefault="00C519D5" w:rsidP="00C519D5">
                    <w:pPr>
                      <w:spacing w:before="0" w:after="12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 w:rsidR="00546D8D" w:rsidRPr="00A608BF">
                      <w:rPr>
                        <w:b/>
                        <w:sz w:val="16"/>
                        <w:szCs w:val="16"/>
                      </w:rPr>
                      <w:t>MUNICÍPIO DE JÓIA</w:t>
                    </w:r>
                  </w:p>
                </w:txbxContent>
              </v:textbox>
            </v:shape>
          </w:pict>
        </mc:Fallback>
      </mc:AlternateContent>
    </w:r>
    <w:r w:rsidR="00546D8D">
      <w:t>_______________________</w:t>
    </w:r>
    <w:r w:rsidR="00546D8D">
      <w:tab/>
      <w:t>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C92"/>
    <w:multiLevelType w:val="multilevel"/>
    <w:tmpl w:val="D2E2D3B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05B74"/>
    <w:multiLevelType w:val="multilevel"/>
    <w:tmpl w:val="455C28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0600A2"/>
    <w:multiLevelType w:val="hybridMultilevel"/>
    <w:tmpl w:val="6BEC97CE"/>
    <w:lvl w:ilvl="0" w:tplc="B6263D5C">
      <w:start w:val="8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6" w:hanging="360"/>
      </w:pPr>
    </w:lvl>
    <w:lvl w:ilvl="2" w:tplc="0416001B" w:tentative="1">
      <w:start w:val="1"/>
      <w:numFmt w:val="lowerRoman"/>
      <w:lvlText w:val="%3."/>
      <w:lvlJc w:val="right"/>
      <w:pPr>
        <w:ind w:left="2356" w:hanging="180"/>
      </w:pPr>
    </w:lvl>
    <w:lvl w:ilvl="3" w:tplc="0416000F" w:tentative="1">
      <w:start w:val="1"/>
      <w:numFmt w:val="decimal"/>
      <w:lvlText w:val="%4."/>
      <w:lvlJc w:val="left"/>
      <w:pPr>
        <w:ind w:left="3076" w:hanging="360"/>
      </w:pPr>
    </w:lvl>
    <w:lvl w:ilvl="4" w:tplc="04160019" w:tentative="1">
      <w:start w:val="1"/>
      <w:numFmt w:val="lowerLetter"/>
      <w:lvlText w:val="%5."/>
      <w:lvlJc w:val="left"/>
      <w:pPr>
        <w:ind w:left="3796" w:hanging="360"/>
      </w:pPr>
    </w:lvl>
    <w:lvl w:ilvl="5" w:tplc="0416001B" w:tentative="1">
      <w:start w:val="1"/>
      <w:numFmt w:val="lowerRoman"/>
      <w:lvlText w:val="%6."/>
      <w:lvlJc w:val="right"/>
      <w:pPr>
        <w:ind w:left="4516" w:hanging="180"/>
      </w:pPr>
    </w:lvl>
    <w:lvl w:ilvl="6" w:tplc="0416000F" w:tentative="1">
      <w:start w:val="1"/>
      <w:numFmt w:val="decimal"/>
      <w:lvlText w:val="%7."/>
      <w:lvlJc w:val="left"/>
      <w:pPr>
        <w:ind w:left="5236" w:hanging="360"/>
      </w:pPr>
    </w:lvl>
    <w:lvl w:ilvl="7" w:tplc="04160019" w:tentative="1">
      <w:start w:val="1"/>
      <w:numFmt w:val="lowerLetter"/>
      <w:lvlText w:val="%8."/>
      <w:lvlJc w:val="left"/>
      <w:pPr>
        <w:ind w:left="5956" w:hanging="360"/>
      </w:pPr>
    </w:lvl>
    <w:lvl w:ilvl="8" w:tplc="041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D487856"/>
    <w:multiLevelType w:val="hybridMultilevel"/>
    <w:tmpl w:val="B57E5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9688C"/>
    <w:multiLevelType w:val="hybridMultilevel"/>
    <w:tmpl w:val="90C8C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E632C860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A53CA"/>
    <w:multiLevelType w:val="hybridMultilevel"/>
    <w:tmpl w:val="62CE0C44"/>
    <w:lvl w:ilvl="0" w:tplc="7E7E0C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A0B19"/>
    <w:multiLevelType w:val="hybridMultilevel"/>
    <w:tmpl w:val="DAB6FB1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2E0"/>
    <w:multiLevelType w:val="hybridMultilevel"/>
    <w:tmpl w:val="52BEA3E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3EC5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D09BE"/>
    <w:multiLevelType w:val="multilevel"/>
    <w:tmpl w:val="D40EA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>
    <w:nsid w:val="78F47CD9"/>
    <w:multiLevelType w:val="hybridMultilevel"/>
    <w:tmpl w:val="C6EE0F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875CF"/>
    <w:multiLevelType w:val="multilevel"/>
    <w:tmpl w:val="9F4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9417E"/>
    <w:multiLevelType w:val="hybridMultilevel"/>
    <w:tmpl w:val="19C611DE"/>
    <w:lvl w:ilvl="0" w:tplc="517089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9D"/>
    <w:rsid w:val="000251FD"/>
    <w:rsid w:val="00031D88"/>
    <w:rsid w:val="0005171D"/>
    <w:rsid w:val="0005331E"/>
    <w:rsid w:val="0005746D"/>
    <w:rsid w:val="00057512"/>
    <w:rsid w:val="00095FF9"/>
    <w:rsid w:val="000D36D4"/>
    <w:rsid w:val="000F7437"/>
    <w:rsid w:val="00104155"/>
    <w:rsid w:val="00116CF4"/>
    <w:rsid w:val="00167E11"/>
    <w:rsid w:val="00195566"/>
    <w:rsid w:val="001B182A"/>
    <w:rsid w:val="001C1916"/>
    <w:rsid w:val="001C5B80"/>
    <w:rsid w:val="00203E62"/>
    <w:rsid w:val="002047A5"/>
    <w:rsid w:val="00210668"/>
    <w:rsid w:val="00244A85"/>
    <w:rsid w:val="0028069D"/>
    <w:rsid w:val="00280825"/>
    <w:rsid w:val="002D2161"/>
    <w:rsid w:val="002F74C4"/>
    <w:rsid w:val="00327B23"/>
    <w:rsid w:val="00356F7D"/>
    <w:rsid w:val="003758F2"/>
    <w:rsid w:val="00395EA3"/>
    <w:rsid w:val="003C5C8B"/>
    <w:rsid w:val="003D0F63"/>
    <w:rsid w:val="003E0AB3"/>
    <w:rsid w:val="00407445"/>
    <w:rsid w:val="00417730"/>
    <w:rsid w:val="0042181A"/>
    <w:rsid w:val="00435EAE"/>
    <w:rsid w:val="00444906"/>
    <w:rsid w:val="00454C29"/>
    <w:rsid w:val="004554A1"/>
    <w:rsid w:val="004633D8"/>
    <w:rsid w:val="00466C49"/>
    <w:rsid w:val="0048449F"/>
    <w:rsid w:val="004A0263"/>
    <w:rsid w:val="004B0927"/>
    <w:rsid w:val="004B449D"/>
    <w:rsid w:val="004C0F92"/>
    <w:rsid w:val="004C5FB0"/>
    <w:rsid w:val="004F488F"/>
    <w:rsid w:val="004F4BC0"/>
    <w:rsid w:val="005256F6"/>
    <w:rsid w:val="00546D8D"/>
    <w:rsid w:val="005E0C1E"/>
    <w:rsid w:val="0060328C"/>
    <w:rsid w:val="00652F2D"/>
    <w:rsid w:val="0068514F"/>
    <w:rsid w:val="006A0F8F"/>
    <w:rsid w:val="00714E14"/>
    <w:rsid w:val="007614CF"/>
    <w:rsid w:val="007965D6"/>
    <w:rsid w:val="007C7526"/>
    <w:rsid w:val="007E24AE"/>
    <w:rsid w:val="007E6FDA"/>
    <w:rsid w:val="00805A90"/>
    <w:rsid w:val="00807344"/>
    <w:rsid w:val="008B5DA1"/>
    <w:rsid w:val="008D2A19"/>
    <w:rsid w:val="008D7A96"/>
    <w:rsid w:val="008E5B4B"/>
    <w:rsid w:val="00910A1C"/>
    <w:rsid w:val="009645FC"/>
    <w:rsid w:val="009705D3"/>
    <w:rsid w:val="009A597F"/>
    <w:rsid w:val="009B0BA0"/>
    <w:rsid w:val="009B685A"/>
    <w:rsid w:val="009E3593"/>
    <w:rsid w:val="00A11F4F"/>
    <w:rsid w:val="00A608BF"/>
    <w:rsid w:val="00A91810"/>
    <w:rsid w:val="00A94BBC"/>
    <w:rsid w:val="00A959CF"/>
    <w:rsid w:val="00AA4080"/>
    <w:rsid w:val="00AA4ACA"/>
    <w:rsid w:val="00AA7705"/>
    <w:rsid w:val="00AB1E0E"/>
    <w:rsid w:val="00AB6F4C"/>
    <w:rsid w:val="00AD108A"/>
    <w:rsid w:val="00AD6C76"/>
    <w:rsid w:val="00AF3625"/>
    <w:rsid w:val="00B01CD4"/>
    <w:rsid w:val="00B351AF"/>
    <w:rsid w:val="00B4407B"/>
    <w:rsid w:val="00B5212D"/>
    <w:rsid w:val="00B673C6"/>
    <w:rsid w:val="00B87E76"/>
    <w:rsid w:val="00B969FA"/>
    <w:rsid w:val="00BB5A63"/>
    <w:rsid w:val="00BE1062"/>
    <w:rsid w:val="00C428D8"/>
    <w:rsid w:val="00C43537"/>
    <w:rsid w:val="00C519D5"/>
    <w:rsid w:val="00C57AC3"/>
    <w:rsid w:val="00C6479D"/>
    <w:rsid w:val="00CD0DAE"/>
    <w:rsid w:val="00CF0BA3"/>
    <w:rsid w:val="00D26891"/>
    <w:rsid w:val="00D30D57"/>
    <w:rsid w:val="00D4134F"/>
    <w:rsid w:val="00DA0CA8"/>
    <w:rsid w:val="00DA519C"/>
    <w:rsid w:val="00DD2A16"/>
    <w:rsid w:val="00E05CAF"/>
    <w:rsid w:val="00E2500F"/>
    <w:rsid w:val="00E31DE6"/>
    <w:rsid w:val="00E4183A"/>
    <w:rsid w:val="00E7333B"/>
    <w:rsid w:val="00E74264"/>
    <w:rsid w:val="00E84A21"/>
    <w:rsid w:val="00EA4936"/>
    <w:rsid w:val="00EB5643"/>
    <w:rsid w:val="00EF721C"/>
    <w:rsid w:val="00F00E05"/>
    <w:rsid w:val="00F159EF"/>
    <w:rsid w:val="00F16E6E"/>
    <w:rsid w:val="00F21EC4"/>
    <w:rsid w:val="00F2643B"/>
    <w:rsid w:val="00F51E26"/>
    <w:rsid w:val="00F6212C"/>
    <w:rsid w:val="00F74B5F"/>
    <w:rsid w:val="00FB3BCE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7B82990-A1A8-48A5-863B-D3E7C18D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16"/>
    <w:pPr>
      <w:spacing w:before="240" w:after="0" w:line="360" w:lineRule="auto"/>
      <w:ind w:left="1276" w:hanging="1276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4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C19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16"/>
  </w:style>
  <w:style w:type="paragraph" w:styleId="Rodap">
    <w:name w:val="footer"/>
    <w:basedOn w:val="Normal"/>
    <w:link w:val="RodapChar"/>
    <w:uiPriority w:val="99"/>
    <w:unhideWhenUsed/>
    <w:rsid w:val="001C19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16"/>
  </w:style>
  <w:style w:type="paragraph" w:styleId="PargrafodaLista">
    <w:name w:val="List Paragraph"/>
    <w:basedOn w:val="Normal"/>
    <w:uiPriority w:val="34"/>
    <w:qFormat/>
    <w:rsid w:val="001C1916"/>
    <w:pPr>
      <w:ind w:left="720"/>
      <w:contextualSpacing/>
    </w:pPr>
  </w:style>
  <w:style w:type="paragraph" w:styleId="SemEspaamento">
    <w:name w:val="No Spacing"/>
    <w:uiPriority w:val="1"/>
    <w:qFormat/>
    <w:rsid w:val="003E0AB3"/>
    <w:pPr>
      <w:spacing w:after="0" w:line="240" w:lineRule="auto"/>
      <w:ind w:left="1276" w:hanging="1276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DB05-CC87-4649-B30B-0FA87A3B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3102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Adrinana Zwick</dc:creator>
  <cp:keywords/>
  <dc:description/>
  <cp:lastModifiedBy>Usuario</cp:lastModifiedBy>
  <cp:revision>2</cp:revision>
  <dcterms:created xsi:type="dcterms:W3CDTF">2020-10-14T16:57:00Z</dcterms:created>
  <dcterms:modified xsi:type="dcterms:W3CDTF">2020-10-14T16:57:00Z</dcterms:modified>
</cp:coreProperties>
</file>